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847F2" w14:textId="537782F9" w:rsidR="004345D7" w:rsidRPr="000E3192" w:rsidRDefault="004345D7" w:rsidP="00F3756B">
      <w:pPr>
        <w:rPr>
          <w:rFonts w:cs="Arial"/>
          <w:b/>
          <w:color w:val="00645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345D7" w:rsidRPr="000E3192" w14:paraId="6FC9F602" w14:textId="77777777" w:rsidTr="00A604D8">
        <w:tc>
          <w:tcPr>
            <w:tcW w:w="5228" w:type="dxa"/>
            <w:hideMark/>
          </w:tcPr>
          <w:p w14:paraId="0DDCFE30" w14:textId="77777777" w:rsidR="004345D7" w:rsidRPr="000E3192" w:rsidRDefault="004345D7" w:rsidP="00A604D8">
            <w:pPr>
              <w:rPr>
                <w:rFonts w:cs="Arial"/>
                <w:szCs w:val="20"/>
              </w:rPr>
            </w:pPr>
            <w:r w:rsidRPr="000E3192">
              <w:rPr>
                <w:rFonts w:cs="Arial"/>
                <w:noProof/>
                <w:szCs w:val="20"/>
                <w:lang w:val="en-US" w:bidi="ne-NP"/>
              </w:rPr>
              <w:drawing>
                <wp:inline distT="0" distB="0" distL="0" distR="0" wp14:anchorId="31EF9341" wp14:editId="4EF0E713">
                  <wp:extent cx="1276350" cy="666750"/>
                  <wp:effectExtent l="0" t="0" r="0" b="0"/>
                  <wp:docPr id="2" name="Picture 2" descr="NHS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S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tc>
        <w:tc>
          <w:tcPr>
            <w:tcW w:w="5228" w:type="dxa"/>
            <w:hideMark/>
          </w:tcPr>
          <w:p w14:paraId="721020DF" w14:textId="77777777" w:rsidR="004345D7" w:rsidRPr="000E3192" w:rsidRDefault="004345D7" w:rsidP="00A604D8">
            <w:pPr>
              <w:jc w:val="right"/>
              <w:rPr>
                <w:rFonts w:cs="Arial"/>
                <w:szCs w:val="20"/>
              </w:rPr>
            </w:pPr>
            <w:r w:rsidRPr="000E3192">
              <w:rPr>
                <w:rFonts w:cs="Arial"/>
                <w:noProof/>
                <w:szCs w:val="20"/>
                <w:lang w:val="en-US" w:bidi="ne-NP"/>
              </w:rPr>
              <w:drawing>
                <wp:inline distT="0" distB="0" distL="0" distR="0" wp14:anchorId="0ADDA22A" wp14:editId="73A2EC10">
                  <wp:extent cx="895350" cy="933450"/>
                  <wp:effectExtent l="0" t="0" r="0" b="0"/>
                  <wp:docPr id="1" name="Picture 1" descr="UK AID - Standard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AID - Standard - 4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inline>
              </w:drawing>
            </w:r>
          </w:p>
        </w:tc>
      </w:tr>
    </w:tbl>
    <w:p w14:paraId="7A5BC00F" w14:textId="77777777" w:rsidR="00F3756B" w:rsidRPr="000E3192" w:rsidRDefault="00F3756B" w:rsidP="00E40C8E">
      <w:pPr>
        <w:pStyle w:val="Bodytext7"/>
        <w:spacing w:after="0"/>
        <w:ind w:left="0"/>
        <w:jc w:val="left"/>
        <w:rPr>
          <w:rFonts w:eastAsiaTheme="minorHAnsi" w:cs="Arial"/>
          <w:b/>
          <w:color w:val="00645C"/>
          <w:sz w:val="20"/>
          <w:szCs w:val="22"/>
        </w:rPr>
      </w:pPr>
    </w:p>
    <w:p w14:paraId="40B9C817" w14:textId="77777777" w:rsidR="00F3756B" w:rsidRPr="000E3192" w:rsidRDefault="00F3756B" w:rsidP="00E40C8E">
      <w:pPr>
        <w:pStyle w:val="Bodytext7"/>
        <w:spacing w:after="0"/>
        <w:ind w:left="0"/>
        <w:jc w:val="left"/>
        <w:rPr>
          <w:rFonts w:eastAsiaTheme="minorHAnsi" w:cs="Arial"/>
          <w:b/>
          <w:color w:val="00645C"/>
          <w:sz w:val="20"/>
          <w:szCs w:val="22"/>
        </w:rPr>
      </w:pPr>
    </w:p>
    <w:p w14:paraId="58C13616" w14:textId="77777777" w:rsidR="00770DB7" w:rsidRPr="000E3192" w:rsidRDefault="00BC3D57" w:rsidP="00E40C8E">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 xml:space="preserve">Job </w:t>
      </w:r>
      <w:r w:rsidR="003311A5" w:rsidRPr="000E3192">
        <w:rPr>
          <w:rFonts w:eastAsiaTheme="minorHAnsi" w:cs="Arial"/>
          <w:b/>
          <w:color w:val="002060"/>
          <w:sz w:val="20"/>
          <w:szCs w:val="22"/>
        </w:rPr>
        <w:t>d</w:t>
      </w:r>
      <w:r w:rsidRPr="000E3192">
        <w:rPr>
          <w:rFonts w:eastAsiaTheme="minorHAnsi" w:cs="Arial"/>
          <w:b/>
          <w:color w:val="002060"/>
          <w:sz w:val="20"/>
          <w:szCs w:val="22"/>
        </w:rPr>
        <w:t>escription</w:t>
      </w:r>
    </w:p>
    <w:tbl>
      <w:tblPr>
        <w:tblStyle w:val="TableGrid"/>
        <w:tblW w:w="5000" w:type="pct"/>
        <w:tblLook w:val="04A0" w:firstRow="1" w:lastRow="0" w:firstColumn="1" w:lastColumn="0" w:noHBand="0" w:noVBand="1"/>
      </w:tblPr>
      <w:tblGrid>
        <w:gridCol w:w="5228"/>
        <w:gridCol w:w="5228"/>
      </w:tblGrid>
      <w:tr w:rsidR="00BC3D57" w:rsidRPr="000E3192" w14:paraId="2B435DFD" w14:textId="77777777" w:rsidTr="00E40C8E">
        <w:trPr>
          <w:trHeight w:val="170"/>
        </w:trPr>
        <w:tc>
          <w:tcPr>
            <w:tcW w:w="2500" w:type="pct"/>
            <w:tcMar>
              <w:top w:w="108" w:type="dxa"/>
              <w:bottom w:w="108" w:type="dxa"/>
            </w:tcMar>
            <w:vAlign w:val="center"/>
          </w:tcPr>
          <w:p w14:paraId="0744DF55" w14:textId="77777777" w:rsidR="00BC3D57" w:rsidRPr="000E3192" w:rsidRDefault="00BC3D57" w:rsidP="00E40C8E">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 xml:space="preserve">Job </w:t>
            </w:r>
            <w:r w:rsidR="003311A5" w:rsidRPr="000E3192">
              <w:rPr>
                <w:rFonts w:eastAsiaTheme="minorHAnsi" w:cs="Arial"/>
                <w:b/>
                <w:color w:val="002060"/>
                <w:sz w:val="20"/>
                <w:szCs w:val="22"/>
              </w:rPr>
              <w:t>t</w:t>
            </w:r>
            <w:r w:rsidRPr="000E3192">
              <w:rPr>
                <w:rFonts w:eastAsiaTheme="minorHAnsi" w:cs="Arial"/>
                <w:b/>
                <w:color w:val="002060"/>
                <w:sz w:val="20"/>
                <w:szCs w:val="22"/>
              </w:rPr>
              <w:t>itle</w:t>
            </w:r>
          </w:p>
        </w:tc>
        <w:tc>
          <w:tcPr>
            <w:tcW w:w="2500" w:type="pct"/>
            <w:tcMar>
              <w:top w:w="108" w:type="dxa"/>
              <w:bottom w:w="108" w:type="dxa"/>
            </w:tcMar>
            <w:vAlign w:val="center"/>
          </w:tcPr>
          <w:p w14:paraId="78388496" w14:textId="59908126" w:rsidR="00BC3D57" w:rsidRPr="000E3192" w:rsidRDefault="00962E04" w:rsidP="00962E04">
            <w:pPr>
              <w:rPr>
                <w:rFonts w:cs="Arial"/>
                <w:szCs w:val="20"/>
              </w:rPr>
            </w:pPr>
            <w:r w:rsidRPr="000E3192">
              <w:rPr>
                <w:rFonts w:cs="Arial"/>
                <w:szCs w:val="20"/>
              </w:rPr>
              <w:t>Pharmacist</w:t>
            </w:r>
          </w:p>
        </w:tc>
      </w:tr>
      <w:tr w:rsidR="000243FF" w:rsidRPr="000E3192" w14:paraId="123597DD" w14:textId="77777777" w:rsidTr="00E40C8E">
        <w:trPr>
          <w:trHeight w:val="170"/>
        </w:trPr>
        <w:tc>
          <w:tcPr>
            <w:tcW w:w="2500" w:type="pct"/>
            <w:tcMar>
              <w:top w:w="108" w:type="dxa"/>
              <w:bottom w:w="108" w:type="dxa"/>
            </w:tcMar>
            <w:vAlign w:val="center"/>
          </w:tcPr>
          <w:p w14:paraId="5279712D" w14:textId="0B4BF40D" w:rsidR="000243FF" w:rsidRPr="000E3192" w:rsidRDefault="008011F5" w:rsidP="00E40C8E">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Thematic Area</w:t>
            </w:r>
          </w:p>
        </w:tc>
        <w:tc>
          <w:tcPr>
            <w:tcW w:w="2500" w:type="pct"/>
            <w:tcMar>
              <w:top w:w="108" w:type="dxa"/>
              <w:bottom w:w="108" w:type="dxa"/>
            </w:tcMar>
            <w:vAlign w:val="center"/>
          </w:tcPr>
          <w:p w14:paraId="17F7A304" w14:textId="352B06ED" w:rsidR="000243FF" w:rsidRPr="000E3192" w:rsidRDefault="00806185" w:rsidP="003311A5">
            <w:pPr>
              <w:rPr>
                <w:rFonts w:cs="Arial"/>
                <w:szCs w:val="20"/>
              </w:rPr>
            </w:pPr>
            <w:r w:rsidRPr="000E3192">
              <w:rPr>
                <w:rFonts w:cs="Arial"/>
                <w:szCs w:val="20"/>
              </w:rPr>
              <w:t xml:space="preserve">Leadership and Governance  </w:t>
            </w:r>
            <w:r w:rsidR="00962E04" w:rsidRPr="000E3192">
              <w:rPr>
                <w:rFonts w:cs="Arial"/>
                <w:szCs w:val="20"/>
              </w:rPr>
              <w:t>(L&amp;G)</w:t>
            </w:r>
          </w:p>
        </w:tc>
      </w:tr>
      <w:tr w:rsidR="009C51B7" w:rsidRPr="000E3192" w14:paraId="005B633D" w14:textId="77777777" w:rsidTr="00167C31">
        <w:trPr>
          <w:trHeight w:val="170"/>
        </w:trPr>
        <w:tc>
          <w:tcPr>
            <w:tcW w:w="2500" w:type="pct"/>
            <w:tcMar>
              <w:top w:w="108" w:type="dxa"/>
              <w:bottom w:w="108" w:type="dxa"/>
            </w:tcMar>
            <w:vAlign w:val="center"/>
          </w:tcPr>
          <w:p w14:paraId="644B824A" w14:textId="77777777" w:rsidR="009C51B7" w:rsidRPr="000E3192" w:rsidRDefault="009C51B7" w:rsidP="00167C31">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Geographic Area focus</w:t>
            </w:r>
          </w:p>
        </w:tc>
        <w:tc>
          <w:tcPr>
            <w:tcW w:w="2500" w:type="pct"/>
            <w:tcMar>
              <w:top w:w="108" w:type="dxa"/>
              <w:bottom w:w="108" w:type="dxa"/>
            </w:tcMar>
            <w:vAlign w:val="center"/>
          </w:tcPr>
          <w:p w14:paraId="4DBF17E3" w14:textId="78F40813" w:rsidR="009C51B7" w:rsidRPr="000E3192" w:rsidRDefault="005A52CA" w:rsidP="00167C31">
            <w:pPr>
              <w:rPr>
                <w:rFonts w:cs="Arial"/>
                <w:szCs w:val="20"/>
              </w:rPr>
            </w:pPr>
            <w:r w:rsidRPr="000E3192">
              <w:rPr>
                <w:rFonts w:cs="Arial"/>
                <w:szCs w:val="20"/>
              </w:rPr>
              <w:t>A</w:t>
            </w:r>
            <w:r w:rsidR="009C51B7" w:rsidRPr="000E3192">
              <w:rPr>
                <w:rFonts w:cs="Arial"/>
                <w:szCs w:val="20"/>
              </w:rPr>
              <w:t>l</w:t>
            </w:r>
            <w:r w:rsidRPr="000E3192">
              <w:rPr>
                <w:rFonts w:cs="Arial"/>
                <w:szCs w:val="20"/>
              </w:rPr>
              <w:t>l</w:t>
            </w:r>
            <w:r w:rsidR="009C51B7" w:rsidRPr="000E3192">
              <w:rPr>
                <w:rFonts w:cs="Arial"/>
                <w:szCs w:val="20"/>
              </w:rPr>
              <w:t xml:space="preserve"> governance spheres (Federal, Provincial &amp; </w:t>
            </w:r>
            <w:proofErr w:type="spellStart"/>
            <w:r w:rsidR="009C51B7" w:rsidRPr="000E3192">
              <w:rPr>
                <w:rFonts w:cs="Arial"/>
                <w:szCs w:val="20"/>
              </w:rPr>
              <w:t>Palika</w:t>
            </w:r>
            <w:proofErr w:type="spellEnd"/>
            <w:r w:rsidR="009C51B7" w:rsidRPr="000E3192">
              <w:rPr>
                <w:rFonts w:cs="Arial"/>
                <w:szCs w:val="20"/>
              </w:rPr>
              <w:t>)</w:t>
            </w:r>
          </w:p>
          <w:p w14:paraId="37B57B68" w14:textId="77777777" w:rsidR="009C51B7" w:rsidRPr="000E3192" w:rsidRDefault="009C51B7" w:rsidP="00167C31">
            <w:pPr>
              <w:rPr>
                <w:rFonts w:cs="Arial"/>
                <w:szCs w:val="20"/>
              </w:rPr>
            </w:pPr>
          </w:p>
          <w:p w14:paraId="3FD242D9" w14:textId="42DCFD5C" w:rsidR="009C51B7" w:rsidRPr="000E3192" w:rsidRDefault="009C51B7" w:rsidP="00167C31">
            <w:pPr>
              <w:rPr>
                <w:rFonts w:cs="Arial"/>
                <w:szCs w:val="20"/>
              </w:rPr>
            </w:pPr>
            <w:r w:rsidRPr="000E3192">
              <w:rPr>
                <w:rFonts w:cs="Arial"/>
                <w:szCs w:val="20"/>
              </w:rPr>
              <w:t xml:space="preserve">Focal provinces: </w:t>
            </w:r>
            <w:r w:rsidR="005A52CA" w:rsidRPr="000E3192">
              <w:rPr>
                <w:rFonts w:cs="Arial"/>
                <w:szCs w:val="20"/>
              </w:rPr>
              <w:t xml:space="preserve"> Province 2, Province 5, Province </w:t>
            </w:r>
            <w:r w:rsidR="00400C1D" w:rsidRPr="000E3192">
              <w:rPr>
                <w:rFonts w:cs="Arial"/>
                <w:szCs w:val="20"/>
              </w:rPr>
              <w:t>7</w:t>
            </w:r>
          </w:p>
        </w:tc>
      </w:tr>
      <w:tr w:rsidR="00BC3D57" w:rsidRPr="000E3192" w14:paraId="0473F394" w14:textId="77777777" w:rsidTr="00E40C8E">
        <w:trPr>
          <w:trHeight w:val="170"/>
        </w:trPr>
        <w:tc>
          <w:tcPr>
            <w:tcW w:w="2500" w:type="pct"/>
            <w:tcMar>
              <w:top w:w="108" w:type="dxa"/>
              <w:bottom w:w="108" w:type="dxa"/>
            </w:tcMar>
            <w:vAlign w:val="center"/>
          </w:tcPr>
          <w:p w14:paraId="2DF98E28" w14:textId="398B740D" w:rsidR="00BC3D57" w:rsidRPr="000E3192" w:rsidRDefault="00E62DC3" w:rsidP="00E40C8E">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 xml:space="preserve">Reporting </w:t>
            </w:r>
            <w:r w:rsidR="00515D35" w:rsidRPr="000E3192">
              <w:rPr>
                <w:rFonts w:eastAsiaTheme="minorHAnsi" w:cs="Arial"/>
                <w:b/>
                <w:color w:val="002060"/>
                <w:sz w:val="20"/>
                <w:szCs w:val="22"/>
              </w:rPr>
              <w:t xml:space="preserve">and Accountability </w:t>
            </w:r>
            <w:r w:rsidRPr="000E3192">
              <w:rPr>
                <w:rFonts w:eastAsiaTheme="minorHAnsi" w:cs="Arial"/>
                <w:b/>
                <w:color w:val="002060"/>
                <w:sz w:val="20"/>
                <w:szCs w:val="22"/>
              </w:rPr>
              <w:t>to</w:t>
            </w:r>
          </w:p>
        </w:tc>
        <w:tc>
          <w:tcPr>
            <w:tcW w:w="2500" w:type="pct"/>
            <w:tcMar>
              <w:top w:w="108" w:type="dxa"/>
              <w:bottom w:w="108" w:type="dxa"/>
            </w:tcMar>
            <w:vAlign w:val="center"/>
          </w:tcPr>
          <w:p w14:paraId="59CF6574" w14:textId="6F739758" w:rsidR="00BC3D57" w:rsidRPr="000E3192" w:rsidRDefault="00416263" w:rsidP="00944CDB">
            <w:pPr>
              <w:rPr>
                <w:rFonts w:cs="Arial"/>
                <w:szCs w:val="20"/>
              </w:rPr>
            </w:pPr>
            <w:r w:rsidRPr="000E3192">
              <w:rPr>
                <w:rFonts w:cs="Arial"/>
                <w:szCs w:val="20"/>
              </w:rPr>
              <w:t>L&amp;G Thematic Team Lead</w:t>
            </w:r>
          </w:p>
        </w:tc>
      </w:tr>
      <w:tr w:rsidR="000F4300" w:rsidRPr="000E3192" w14:paraId="4E41E4E0" w14:textId="77777777" w:rsidTr="00E40C8E">
        <w:trPr>
          <w:trHeight w:val="170"/>
        </w:trPr>
        <w:tc>
          <w:tcPr>
            <w:tcW w:w="2500" w:type="pct"/>
            <w:tcMar>
              <w:top w:w="108" w:type="dxa"/>
              <w:bottom w:w="108" w:type="dxa"/>
            </w:tcMar>
            <w:vAlign w:val="center"/>
          </w:tcPr>
          <w:p w14:paraId="668731CC" w14:textId="325FABE7" w:rsidR="000F4300" w:rsidRPr="000E3192" w:rsidRDefault="000F4300" w:rsidP="00E40C8E">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Technical Co-ordination with</w:t>
            </w:r>
          </w:p>
        </w:tc>
        <w:tc>
          <w:tcPr>
            <w:tcW w:w="2500" w:type="pct"/>
            <w:tcMar>
              <w:top w:w="108" w:type="dxa"/>
              <w:bottom w:w="108" w:type="dxa"/>
            </w:tcMar>
            <w:vAlign w:val="center"/>
          </w:tcPr>
          <w:p w14:paraId="6B8E5438" w14:textId="40820E3E" w:rsidR="000F4300" w:rsidRPr="000E3192" w:rsidRDefault="006F0D14" w:rsidP="00944CDB">
            <w:pPr>
              <w:rPr>
                <w:rFonts w:cs="Arial"/>
                <w:szCs w:val="20"/>
              </w:rPr>
            </w:pPr>
            <w:r w:rsidRPr="000E3192">
              <w:rPr>
                <w:rFonts w:cs="Arial"/>
                <w:szCs w:val="20"/>
              </w:rPr>
              <w:t xml:space="preserve">International </w:t>
            </w:r>
            <w:r w:rsidR="000F4300" w:rsidRPr="000E3192">
              <w:rPr>
                <w:rFonts w:cs="Arial"/>
                <w:szCs w:val="20"/>
              </w:rPr>
              <w:t>Technical Specialist</w:t>
            </w:r>
          </w:p>
        </w:tc>
      </w:tr>
      <w:tr w:rsidR="00912A5F" w:rsidRPr="000E3192" w14:paraId="36B1866C" w14:textId="77777777" w:rsidTr="00E40C8E">
        <w:trPr>
          <w:trHeight w:val="170"/>
        </w:trPr>
        <w:tc>
          <w:tcPr>
            <w:tcW w:w="2500" w:type="pct"/>
            <w:tcMar>
              <w:top w:w="108" w:type="dxa"/>
              <w:bottom w:w="108" w:type="dxa"/>
            </w:tcMar>
            <w:vAlign w:val="center"/>
          </w:tcPr>
          <w:p w14:paraId="6F541F79" w14:textId="6A68A557" w:rsidR="00912A5F" w:rsidRPr="000E3192" w:rsidRDefault="003A06C7" w:rsidP="00E40C8E">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 xml:space="preserve">Technical and </w:t>
            </w:r>
            <w:r w:rsidR="00B7128D" w:rsidRPr="000E3192">
              <w:rPr>
                <w:rFonts w:eastAsiaTheme="minorHAnsi" w:cs="Arial"/>
                <w:b/>
                <w:color w:val="002060"/>
                <w:sz w:val="20"/>
                <w:szCs w:val="22"/>
              </w:rPr>
              <w:t>Line management r</w:t>
            </w:r>
            <w:r w:rsidR="00912A5F" w:rsidRPr="000E3192">
              <w:rPr>
                <w:rFonts w:eastAsiaTheme="minorHAnsi" w:cs="Arial"/>
                <w:b/>
                <w:color w:val="002060"/>
                <w:sz w:val="20"/>
                <w:szCs w:val="22"/>
              </w:rPr>
              <w:t>esponsib</w:t>
            </w:r>
            <w:r w:rsidR="00B7128D" w:rsidRPr="000E3192">
              <w:rPr>
                <w:rFonts w:eastAsiaTheme="minorHAnsi" w:cs="Arial"/>
                <w:b/>
                <w:color w:val="002060"/>
                <w:sz w:val="20"/>
                <w:szCs w:val="22"/>
              </w:rPr>
              <w:t>ility</w:t>
            </w:r>
            <w:r w:rsidR="00E324E1" w:rsidRPr="000E3192">
              <w:rPr>
                <w:rFonts w:eastAsiaTheme="minorHAnsi" w:cs="Arial"/>
                <w:b/>
                <w:color w:val="002060"/>
                <w:sz w:val="20"/>
                <w:szCs w:val="22"/>
              </w:rPr>
              <w:t xml:space="preserve"> for</w:t>
            </w:r>
          </w:p>
        </w:tc>
        <w:tc>
          <w:tcPr>
            <w:tcW w:w="2500" w:type="pct"/>
            <w:tcMar>
              <w:top w:w="108" w:type="dxa"/>
              <w:bottom w:w="108" w:type="dxa"/>
            </w:tcMar>
            <w:vAlign w:val="center"/>
          </w:tcPr>
          <w:p w14:paraId="09485354" w14:textId="308BC551" w:rsidR="00684F9D" w:rsidRPr="000E3192" w:rsidRDefault="004714EE" w:rsidP="00BC5C32">
            <w:pPr>
              <w:rPr>
                <w:rFonts w:cs="Arial"/>
                <w:szCs w:val="20"/>
              </w:rPr>
            </w:pPr>
            <w:r>
              <w:rPr>
                <w:rFonts w:cs="Arial"/>
                <w:szCs w:val="20"/>
              </w:rPr>
              <w:t>TBC</w:t>
            </w:r>
          </w:p>
        </w:tc>
      </w:tr>
      <w:tr w:rsidR="00BC3D57" w:rsidRPr="000E3192" w14:paraId="40867A8D" w14:textId="77777777" w:rsidTr="00E40C8E">
        <w:trPr>
          <w:trHeight w:val="170"/>
        </w:trPr>
        <w:tc>
          <w:tcPr>
            <w:tcW w:w="2500" w:type="pct"/>
            <w:tcMar>
              <w:top w:w="108" w:type="dxa"/>
              <w:bottom w:w="108" w:type="dxa"/>
            </w:tcMar>
            <w:vAlign w:val="center"/>
          </w:tcPr>
          <w:p w14:paraId="537EACF5" w14:textId="77777777" w:rsidR="00BC3D57" w:rsidRPr="000E3192" w:rsidRDefault="00BC3D57" w:rsidP="00E40C8E">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Liaison with</w:t>
            </w:r>
          </w:p>
        </w:tc>
        <w:tc>
          <w:tcPr>
            <w:tcW w:w="2500" w:type="pct"/>
            <w:tcMar>
              <w:top w:w="108" w:type="dxa"/>
              <w:bottom w:w="108" w:type="dxa"/>
            </w:tcMar>
            <w:vAlign w:val="center"/>
          </w:tcPr>
          <w:p w14:paraId="3DBE1709" w14:textId="26E47C96" w:rsidR="00BC3D57" w:rsidRPr="000E3192" w:rsidRDefault="009138F7" w:rsidP="00B73D24">
            <w:pPr>
              <w:rPr>
                <w:rFonts w:cs="Arial"/>
                <w:szCs w:val="20"/>
              </w:rPr>
            </w:pPr>
            <w:r w:rsidRPr="000E3192">
              <w:rPr>
                <w:rFonts w:cs="Arial"/>
                <w:szCs w:val="20"/>
              </w:rPr>
              <w:t>NHSSP Strategic Adviser</w:t>
            </w:r>
            <w:r w:rsidR="00A12AFB" w:rsidRPr="000E3192">
              <w:rPr>
                <w:rFonts w:cs="Arial"/>
                <w:szCs w:val="20"/>
              </w:rPr>
              <w:t xml:space="preserve"> (</w:t>
            </w:r>
            <w:r w:rsidRPr="000E3192">
              <w:rPr>
                <w:rFonts w:cs="Arial"/>
                <w:szCs w:val="20"/>
              </w:rPr>
              <w:t>F</w:t>
            </w:r>
            <w:r w:rsidR="00BA1888" w:rsidRPr="000E3192">
              <w:rPr>
                <w:rFonts w:cs="Arial"/>
                <w:szCs w:val="20"/>
              </w:rPr>
              <w:t xml:space="preserve">inancial </w:t>
            </w:r>
            <w:r w:rsidR="00A12AFB" w:rsidRPr="000E3192">
              <w:rPr>
                <w:rFonts w:cs="Arial"/>
                <w:szCs w:val="20"/>
              </w:rPr>
              <w:t>Management)</w:t>
            </w:r>
            <w:r w:rsidRPr="000E3192">
              <w:rPr>
                <w:rFonts w:cs="Arial"/>
                <w:szCs w:val="20"/>
              </w:rPr>
              <w:t xml:space="preserve">, </w:t>
            </w:r>
            <w:r w:rsidR="00A12AFB" w:rsidRPr="000E3192">
              <w:rPr>
                <w:rFonts w:cs="Arial"/>
                <w:szCs w:val="20"/>
              </w:rPr>
              <w:t>Public Financial Management Advisor/Specialist, Governance Advisor Specialist</w:t>
            </w:r>
          </w:p>
        </w:tc>
      </w:tr>
      <w:tr w:rsidR="006D0A62" w:rsidRPr="000E3192" w14:paraId="4C1A1D3A" w14:textId="77777777" w:rsidTr="00E40C8E">
        <w:trPr>
          <w:trHeight w:val="170"/>
        </w:trPr>
        <w:tc>
          <w:tcPr>
            <w:tcW w:w="2500" w:type="pct"/>
            <w:tcMar>
              <w:top w:w="108" w:type="dxa"/>
              <w:bottom w:w="108" w:type="dxa"/>
            </w:tcMar>
            <w:vAlign w:val="center"/>
          </w:tcPr>
          <w:p w14:paraId="02185B9A" w14:textId="77777777" w:rsidR="006D0A62" w:rsidRPr="000E3192" w:rsidRDefault="006D0A62" w:rsidP="00E40C8E">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Location</w:t>
            </w:r>
          </w:p>
        </w:tc>
        <w:tc>
          <w:tcPr>
            <w:tcW w:w="2500" w:type="pct"/>
            <w:tcMar>
              <w:top w:w="108" w:type="dxa"/>
              <w:bottom w:w="108" w:type="dxa"/>
            </w:tcMar>
            <w:vAlign w:val="center"/>
          </w:tcPr>
          <w:p w14:paraId="7B7ED764" w14:textId="77777777" w:rsidR="006D0A62" w:rsidRPr="000E3192" w:rsidRDefault="00FB2FA5" w:rsidP="003311A5">
            <w:pPr>
              <w:rPr>
                <w:rFonts w:cs="Arial"/>
                <w:szCs w:val="20"/>
              </w:rPr>
            </w:pPr>
            <w:r w:rsidRPr="000E3192">
              <w:rPr>
                <w:rFonts w:cs="Arial"/>
                <w:szCs w:val="20"/>
              </w:rPr>
              <w:t>Kathmandu, Nepal</w:t>
            </w:r>
          </w:p>
        </w:tc>
      </w:tr>
      <w:tr w:rsidR="006D0A62" w:rsidRPr="000E3192" w14:paraId="3342BD1A" w14:textId="77777777" w:rsidTr="00E40C8E">
        <w:trPr>
          <w:trHeight w:val="170"/>
        </w:trPr>
        <w:tc>
          <w:tcPr>
            <w:tcW w:w="2500" w:type="pct"/>
            <w:tcMar>
              <w:top w:w="108" w:type="dxa"/>
              <w:bottom w:w="108" w:type="dxa"/>
            </w:tcMar>
            <w:vAlign w:val="center"/>
          </w:tcPr>
          <w:p w14:paraId="20E01B41" w14:textId="77777777" w:rsidR="006D0A62" w:rsidRPr="000E3192" w:rsidRDefault="006D0A62" w:rsidP="00E40C8E">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Type of contract</w:t>
            </w:r>
          </w:p>
        </w:tc>
        <w:tc>
          <w:tcPr>
            <w:tcW w:w="2500" w:type="pct"/>
            <w:tcMar>
              <w:top w:w="108" w:type="dxa"/>
              <w:bottom w:w="108" w:type="dxa"/>
            </w:tcMar>
            <w:vAlign w:val="center"/>
          </w:tcPr>
          <w:p w14:paraId="508256A4" w14:textId="77FCCA3D" w:rsidR="006D0A62" w:rsidRPr="000E3192" w:rsidRDefault="00FC28B3" w:rsidP="00EC4196">
            <w:pPr>
              <w:rPr>
                <w:rFonts w:cs="Arial"/>
                <w:szCs w:val="20"/>
              </w:rPr>
            </w:pPr>
            <w:r>
              <w:rPr>
                <w:rFonts w:cs="Arial"/>
                <w:szCs w:val="20"/>
              </w:rPr>
              <w:t xml:space="preserve">1 year </w:t>
            </w:r>
            <w:r w:rsidR="00B4721A" w:rsidRPr="000E3192">
              <w:rPr>
                <w:rFonts w:cs="Arial"/>
                <w:szCs w:val="20"/>
              </w:rPr>
              <w:t>, full-time contract, 40 hours per week</w:t>
            </w:r>
          </w:p>
        </w:tc>
      </w:tr>
      <w:tr w:rsidR="006F7006" w:rsidRPr="000E3192" w14:paraId="0C2CDC13" w14:textId="77777777" w:rsidTr="00167C31">
        <w:trPr>
          <w:trHeight w:val="170"/>
        </w:trPr>
        <w:tc>
          <w:tcPr>
            <w:tcW w:w="2500" w:type="pct"/>
            <w:tcMar>
              <w:top w:w="108" w:type="dxa"/>
              <w:bottom w:w="108" w:type="dxa"/>
            </w:tcMar>
            <w:vAlign w:val="center"/>
          </w:tcPr>
          <w:p w14:paraId="540B4C4A" w14:textId="77777777" w:rsidR="006F7006" w:rsidRPr="000E3192" w:rsidRDefault="006F7006" w:rsidP="00167C31">
            <w:pPr>
              <w:pStyle w:val="Bodytext7"/>
              <w:spacing w:after="0"/>
              <w:ind w:left="0"/>
              <w:jc w:val="left"/>
              <w:rPr>
                <w:rFonts w:eastAsiaTheme="minorHAnsi" w:cs="Arial"/>
                <w:b/>
                <w:color w:val="002060"/>
                <w:sz w:val="20"/>
                <w:szCs w:val="22"/>
              </w:rPr>
            </w:pPr>
            <w:r w:rsidRPr="000E3192">
              <w:rPr>
                <w:rFonts w:eastAsiaTheme="minorHAnsi" w:cs="Arial"/>
                <w:b/>
                <w:color w:val="002060"/>
                <w:sz w:val="20"/>
                <w:szCs w:val="22"/>
              </w:rPr>
              <w:t>Post holder</w:t>
            </w:r>
          </w:p>
        </w:tc>
        <w:tc>
          <w:tcPr>
            <w:tcW w:w="2500" w:type="pct"/>
            <w:tcMar>
              <w:top w:w="108" w:type="dxa"/>
              <w:bottom w:w="108" w:type="dxa"/>
            </w:tcMar>
            <w:vAlign w:val="center"/>
          </w:tcPr>
          <w:p w14:paraId="507AA586" w14:textId="0693CD17" w:rsidR="006F7006" w:rsidRPr="000E3192" w:rsidRDefault="00374D6F" w:rsidP="00167C31">
            <w:pPr>
              <w:rPr>
                <w:rFonts w:cs="Arial"/>
                <w:szCs w:val="20"/>
              </w:rPr>
            </w:pPr>
            <w:r w:rsidRPr="000E3192">
              <w:rPr>
                <w:rFonts w:cs="Arial"/>
                <w:szCs w:val="20"/>
              </w:rPr>
              <w:t xml:space="preserve">To be recruited </w:t>
            </w:r>
          </w:p>
        </w:tc>
      </w:tr>
      <w:tr w:rsidR="00BC3D57" w:rsidRPr="000E3192" w14:paraId="7279C114" w14:textId="77777777" w:rsidTr="003311A5">
        <w:tc>
          <w:tcPr>
            <w:tcW w:w="5000" w:type="pct"/>
            <w:gridSpan w:val="2"/>
            <w:tcMar>
              <w:top w:w="108" w:type="dxa"/>
              <w:bottom w:w="108" w:type="dxa"/>
            </w:tcMar>
            <w:vAlign w:val="center"/>
          </w:tcPr>
          <w:p w14:paraId="225D5B06" w14:textId="77777777" w:rsidR="00BC3D57" w:rsidRPr="000E3192" w:rsidRDefault="00E40C8E" w:rsidP="00E40C8E">
            <w:pPr>
              <w:pStyle w:val="Bodytext7"/>
              <w:spacing w:after="0"/>
              <w:ind w:left="0"/>
              <w:jc w:val="left"/>
              <w:rPr>
                <w:rFonts w:cs="Arial"/>
                <w:color w:val="002060"/>
                <w:szCs w:val="20"/>
              </w:rPr>
            </w:pPr>
            <w:r w:rsidRPr="000E3192">
              <w:rPr>
                <w:rFonts w:eastAsiaTheme="minorHAnsi" w:cs="Arial"/>
                <w:b/>
                <w:color w:val="002060"/>
                <w:sz w:val="20"/>
                <w:szCs w:val="22"/>
              </w:rPr>
              <w:t>Background</w:t>
            </w:r>
          </w:p>
        </w:tc>
      </w:tr>
      <w:tr w:rsidR="00A40E75" w:rsidRPr="000E3192" w14:paraId="6E71B301" w14:textId="77777777" w:rsidTr="003311A5">
        <w:tc>
          <w:tcPr>
            <w:tcW w:w="5000" w:type="pct"/>
            <w:gridSpan w:val="2"/>
            <w:tcMar>
              <w:top w:w="108" w:type="dxa"/>
              <w:bottom w:w="108" w:type="dxa"/>
            </w:tcMar>
          </w:tcPr>
          <w:p w14:paraId="5EB611EF" w14:textId="6186F956" w:rsidR="00A40E75" w:rsidRDefault="00A40E75" w:rsidP="00A40E75">
            <w:pPr>
              <w:rPr>
                <w:rFonts w:cs="Arial"/>
                <w:color w:val="000000"/>
                <w:szCs w:val="20"/>
              </w:rPr>
            </w:pPr>
            <w:r w:rsidRPr="0055531D">
              <w:rPr>
                <w:rFonts w:cs="Arial"/>
                <w:color w:val="000000"/>
                <w:szCs w:val="20"/>
              </w:rPr>
              <w:t>The Nepal Health Sector Support</w:t>
            </w:r>
            <w:r w:rsidR="00015E7F">
              <w:rPr>
                <w:rFonts w:cs="Arial"/>
                <w:color w:val="000000"/>
                <w:szCs w:val="20"/>
              </w:rPr>
              <w:t xml:space="preserve"> Programme 3 (NHSSP3), funded with</w:t>
            </w:r>
            <w:r w:rsidRPr="0055531D">
              <w:rPr>
                <w:rFonts w:cs="Arial"/>
                <w:color w:val="000000"/>
                <w:szCs w:val="20"/>
              </w:rPr>
              <w:t xml:space="preserve"> </w:t>
            </w:r>
            <w:r>
              <w:rPr>
                <w:rFonts w:cs="Arial"/>
                <w:color w:val="000000"/>
                <w:szCs w:val="20"/>
              </w:rPr>
              <w:t>UK aid</w:t>
            </w:r>
            <w:r w:rsidRPr="0055531D">
              <w:rPr>
                <w:rFonts w:cs="Arial"/>
                <w:color w:val="000000"/>
                <w:szCs w:val="20"/>
              </w:rPr>
              <w:t xml:space="preserve">, runs from March 2017 to December 2020, with an extension to December 2022 recently confirmed. We seek to build a resilient health system that delivers quality health services, ensuring that no-one is left behind. </w:t>
            </w:r>
            <w:r>
              <w:rPr>
                <w:szCs w:val="20"/>
              </w:rPr>
              <w:t xml:space="preserve">The programme is led by Options Consultancy Services Limited with two consortium partners: HERD International and Oxford Policy Management. For further details on each consortium partner – please see respective websites: Options: </w:t>
            </w:r>
            <w:hyperlink r:id="rId14" w:history="1">
              <w:r>
                <w:rPr>
                  <w:rStyle w:val="Hyperlink"/>
                  <w:szCs w:val="20"/>
                </w:rPr>
                <w:t>www.options.co.uk</w:t>
              </w:r>
            </w:hyperlink>
            <w:r>
              <w:rPr>
                <w:szCs w:val="20"/>
              </w:rPr>
              <w:t xml:space="preserve"> ; HERD International: </w:t>
            </w:r>
            <w:hyperlink r:id="rId15" w:history="1">
              <w:r>
                <w:rPr>
                  <w:rStyle w:val="Hyperlink"/>
                  <w:szCs w:val="20"/>
                </w:rPr>
                <w:t>https://herdint.com/</w:t>
              </w:r>
            </w:hyperlink>
            <w:r>
              <w:rPr>
                <w:szCs w:val="20"/>
              </w:rPr>
              <w:t xml:space="preserve">; OPM: </w:t>
            </w:r>
            <w:hyperlink r:id="rId16" w:history="1">
              <w:r>
                <w:rPr>
                  <w:rStyle w:val="Hyperlink"/>
                  <w:szCs w:val="20"/>
                </w:rPr>
                <w:t>https://www.opml.co.uk/</w:t>
              </w:r>
            </w:hyperlink>
          </w:p>
          <w:p w14:paraId="09DAEE85" w14:textId="65CDFB5A" w:rsidR="00A40E75" w:rsidRPr="0055531D" w:rsidRDefault="00A40E75" w:rsidP="00A40E75">
            <w:pPr>
              <w:autoSpaceDE w:val="0"/>
              <w:autoSpaceDN w:val="0"/>
              <w:adjustRightInd w:val="0"/>
              <w:spacing w:before="120" w:after="120"/>
              <w:jc w:val="both"/>
              <w:rPr>
                <w:rFonts w:cs="Arial"/>
                <w:color w:val="000000"/>
                <w:szCs w:val="20"/>
              </w:rPr>
            </w:pPr>
            <w:r w:rsidRPr="0055531D">
              <w:rPr>
                <w:rFonts w:cs="Arial"/>
                <w:color w:val="000000"/>
                <w:szCs w:val="20"/>
              </w:rPr>
              <w:t>The programme has two components. The first component is the provision of responsive and technical support to the Ministry of Health</w:t>
            </w:r>
            <w:r w:rsidR="00E87329">
              <w:rPr>
                <w:rFonts w:cs="Arial"/>
                <w:color w:val="000000"/>
                <w:szCs w:val="20"/>
              </w:rPr>
              <w:t xml:space="preserve"> and Population </w:t>
            </w:r>
            <w:r w:rsidR="00C67E9D">
              <w:rPr>
                <w:rFonts w:cs="Arial"/>
                <w:color w:val="000000"/>
                <w:szCs w:val="20"/>
              </w:rPr>
              <w:t>(</w:t>
            </w:r>
            <w:proofErr w:type="spellStart"/>
            <w:r w:rsidR="00C67E9D">
              <w:rPr>
                <w:rFonts w:cs="Arial"/>
                <w:color w:val="000000"/>
                <w:szCs w:val="20"/>
              </w:rPr>
              <w:t>Mo</w:t>
            </w:r>
            <w:r w:rsidR="00E87329">
              <w:rPr>
                <w:rFonts w:cs="Arial"/>
                <w:color w:val="000000"/>
                <w:szCs w:val="20"/>
              </w:rPr>
              <w:t>HP</w:t>
            </w:r>
            <w:proofErr w:type="spellEnd"/>
            <w:r w:rsidR="00E87329">
              <w:rPr>
                <w:rFonts w:cs="Arial"/>
                <w:color w:val="000000"/>
                <w:szCs w:val="20"/>
              </w:rPr>
              <w:t>)</w:t>
            </w:r>
            <w:r w:rsidRPr="0055531D">
              <w:rPr>
                <w:rFonts w:cs="Arial"/>
                <w:color w:val="000000"/>
                <w:szCs w:val="20"/>
              </w:rPr>
              <w:t>, increasing its capacity to improve health policy-making and planning, procurement and financial management, health services and the use of evidence for planning and management. The second component aims to</w:t>
            </w:r>
            <w:r w:rsidR="00E87329">
              <w:rPr>
                <w:rFonts w:cs="Arial"/>
                <w:color w:val="000000"/>
                <w:szCs w:val="20"/>
              </w:rPr>
              <w:t xml:space="preserve"> increase the </w:t>
            </w:r>
            <w:proofErr w:type="spellStart"/>
            <w:r w:rsidR="00E87329">
              <w:rPr>
                <w:rFonts w:cs="Arial"/>
                <w:color w:val="000000"/>
                <w:szCs w:val="20"/>
              </w:rPr>
              <w:t>M</w:t>
            </w:r>
            <w:r w:rsidR="00C67E9D">
              <w:rPr>
                <w:rFonts w:cs="Arial"/>
                <w:color w:val="000000"/>
                <w:szCs w:val="20"/>
              </w:rPr>
              <w:t>o</w:t>
            </w:r>
            <w:r w:rsidR="00E87329">
              <w:rPr>
                <w:rFonts w:cs="Arial"/>
                <w:color w:val="000000"/>
                <w:szCs w:val="20"/>
              </w:rPr>
              <w:t>HP</w:t>
            </w:r>
            <w:r w:rsidRPr="0055531D">
              <w:rPr>
                <w:rFonts w:cs="Arial"/>
                <w:color w:val="000000"/>
                <w:szCs w:val="20"/>
              </w:rPr>
              <w:t>’s</w:t>
            </w:r>
            <w:proofErr w:type="spellEnd"/>
            <w:r w:rsidRPr="0055531D">
              <w:rPr>
                <w:rFonts w:cs="Arial"/>
                <w:color w:val="000000"/>
                <w:szCs w:val="20"/>
              </w:rPr>
              <w:t xml:space="preserve"> capacity to retrofit health infrastructure to withstand future earthquakes. Both components are integrated and provided by a team based in Kathmandu and “embedded” with the Government of Nepal. </w:t>
            </w:r>
          </w:p>
          <w:p w14:paraId="2C41AC09" w14:textId="55C77FE7" w:rsidR="00A40E75" w:rsidRPr="000E3192" w:rsidRDefault="00A40E75" w:rsidP="00A40E75">
            <w:pPr>
              <w:jc w:val="both"/>
              <w:rPr>
                <w:rFonts w:eastAsia="Calibri" w:cs="Arial"/>
                <w:color w:val="000000" w:themeColor="text1"/>
                <w:szCs w:val="20"/>
              </w:rPr>
            </w:pPr>
            <w:r w:rsidRPr="0055531D">
              <w:rPr>
                <w:rFonts w:cs="Arial"/>
                <w:color w:val="000000"/>
                <w:szCs w:val="20"/>
              </w:rPr>
              <w:t>The two-year costed extension to the programme is in response to federalism and will transition technical assistance fro</w:t>
            </w:r>
            <w:r w:rsidR="00C67E9D">
              <w:rPr>
                <w:rFonts w:cs="Arial"/>
                <w:color w:val="000000"/>
                <w:szCs w:val="20"/>
              </w:rPr>
              <w:t xml:space="preserve">m the Federal </w:t>
            </w:r>
            <w:proofErr w:type="spellStart"/>
            <w:r w:rsidR="00C67E9D">
              <w:rPr>
                <w:rFonts w:cs="Arial"/>
                <w:color w:val="000000"/>
                <w:szCs w:val="20"/>
              </w:rPr>
              <w:t>MoHP</w:t>
            </w:r>
            <w:proofErr w:type="spellEnd"/>
            <w:r w:rsidRPr="0055531D">
              <w:rPr>
                <w:rFonts w:cs="Arial"/>
                <w:color w:val="000000"/>
                <w:szCs w:val="20"/>
              </w:rPr>
              <w:t xml:space="preserve"> to local level governments in priority provinces and municipalities. We have reconfigured our technical assistance into </w:t>
            </w:r>
            <w:r>
              <w:rPr>
                <w:rFonts w:cs="Arial"/>
                <w:color w:val="000000"/>
                <w:szCs w:val="20"/>
              </w:rPr>
              <w:t>three</w:t>
            </w:r>
            <w:r w:rsidRPr="0055531D">
              <w:rPr>
                <w:rFonts w:cs="Arial"/>
                <w:color w:val="000000"/>
                <w:szCs w:val="20"/>
              </w:rPr>
              <w:t xml:space="preserve"> thematic areas which align with new subnational governments overarching priorities for strengthening health outcomes: leadership and governance resulting in improved stewardship of the health sector; data for decision making, facilitating the use of high quality data to enable decision making; and coverage and quality, institutionalising sustainable quality assurance and improvement processes with access to quality basic healthcare services. Cutting across and supporting the </w:t>
            </w:r>
            <w:r>
              <w:rPr>
                <w:rFonts w:cs="Arial"/>
                <w:color w:val="000000"/>
                <w:szCs w:val="20"/>
              </w:rPr>
              <w:t>three</w:t>
            </w:r>
            <w:r w:rsidRPr="0055531D">
              <w:rPr>
                <w:rFonts w:cs="Arial"/>
                <w:color w:val="000000"/>
                <w:szCs w:val="20"/>
              </w:rPr>
              <w:t xml:space="preserve"> thematic areas is health infrastructure </w:t>
            </w:r>
            <w:r>
              <w:rPr>
                <w:szCs w:val="20"/>
              </w:rPr>
              <w:t xml:space="preserve">retrofitting priority hospitals, sub-national support to produce integrated health infrastructure development plans and capacity enhancement and policy development. Gender, Equity and Social Inclusion (GESI) will cut across all areas and will be integrated into the design. </w:t>
            </w:r>
          </w:p>
        </w:tc>
      </w:tr>
      <w:tr w:rsidR="00A40E75" w:rsidRPr="000E3192" w14:paraId="13903853" w14:textId="77777777" w:rsidTr="003311A5">
        <w:tc>
          <w:tcPr>
            <w:tcW w:w="5000" w:type="pct"/>
            <w:gridSpan w:val="2"/>
            <w:tcMar>
              <w:top w:w="108" w:type="dxa"/>
              <w:bottom w:w="108" w:type="dxa"/>
            </w:tcMar>
          </w:tcPr>
          <w:p w14:paraId="1AED101F" w14:textId="77777777" w:rsidR="00A40E75" w:rsidRPr="000E3192" w:rsidRDefault="00A40E75" w:rsidP="00A40E75">
            <w:pPr>
              <w:pStyle w:val="Bodytext7"/>
              <w:spacing w:after="0"/>
              <w:ind w:left="0"/>
              <w:jc w:val="left"/>
              <w:rPr>
                <w:rFonts w:cs="Arial"/>
                <w:color w:val="000000" w:themeColor="text1"/>
                <w:szCs w:val="20"/>
              </w:rPr>
            </w:pPr>
            <w:r w:rsidRPr="000E3192">
              <w:rPr>
                <w:rFonts w:eastAsiaTheme="minorHAnsi" w:cs="Arial"/>
                <w:b/>
                <w:color w:val="000000" w:themeColor="text1"/>
                <w:sz w:val="20"/>
                <w:szCs w:val="22"/>
              </w:rPr>
              <w:t>Main purpose of the Job</w:t>
            </w:r>
          </w:p>
        </w:tc>
      </w:tr>
      <w:tr w:rsidR="00A40E75" w:rsidRPr="000E3192" w14:paraId="7D1092B2" w14:textId="77777777" w:rsidTr="00A92030">
        <w:trPr>
          <w:trHeight w:val="22"/>
        </w:trPr>
        <w:tc>
          <w:tcPr>
            <w:tcW w:w="5000" w:type="pct"/>
            <w:gridSpan w:val="2"/>
            <w:tcMar>
              <w:top w:w="108" w:type="dxa"/>
              <w:bottom w:w="108" w:type="dxa"/>
            </w:tcMar>
          </w:tcPr>
          <w:p w14:paraId="0CD3F590" w14:textId="2C2CAABC" w:rsidR="00A40E75" w:rsidRPr="000E3192" w:rsidRDefault="00A40E75" w:rsidP="00A40E75">
            <w:pPr>
              <w:jc w:val="both"/>
              <w:rPr>
                <w:rFonts w:cs="Arial"/>
                <w:color w:val="000000" w:themeColor="text1"/>
                <w:szCs w:val="20"/>
              </w:rPr>
            </w:pPr>
            <w:r w:rsidRPr="000E3192">
              <w:rPr>
                <w:rFonts w:cs="Arial"/>
                <w:color w:val="000000" w:themeColor="text1"/>
                <w:szCs w:val="20"/>
              </w:rPr>
              <w:lastRenderedPageBreak/>
              <w:t xml:space="preserve">The </w:t>
            </w:r>
            <w:r w:rsidRPr="00C12B0A">
              <w:rPr>
                <w:rFonts w:cs="Arial"/>
              </w:rPr>
              <w:t>Pharmacist</w:t>
            </w:r>
            <w:r w:rsidRPr="000E3192">
              <w:rPr>
                <w:rFonts w:cs="Arial"/>
                <w:color w:val="000000" w:themeColor="text1"/>
                <w:szCs w:val="20"/>
              </w:rPr>
              <w:t xml:space="preserve"> will provide TA under the Leadership and Governance Thematic Area. The aim of this thematic area is to provide effective technical inputs to the </w:t>
            </w:r>
            <w:proofErr w:type="spellStart"/>
            <w:r w:rsidRPr="000E3192">
              <w:rPr>
                <w:rFonts w:cs="Arial"/>
                <w:color w:val="000000" w:themeColor="text1"/>
                <w:szCs w:val="20"/>
              </w:rPr>
              <w:t>MoHP</w:t>
            </w:r>
            <w:proofErr w:type="spellEnd"/>
            <w:r w:rsidRPr="000E3192">
              <w:rPr>
                <w:rFonts w:cs="Arial"/>
                <w:color w:val="000000" w:themeColor="text1"/>
                <w:szCs w:val="20"/>
              </w:rPr>
              <w:t>/</w:t>
            </w:r>
            <w:proofErr w:type="spellStart"/>
            <w:r w:rsidRPr="000E3192">
              <w:rPr>
                <w:rFonts w:cs="Arial"/>
                <w:color w:val="000000" w:themeColor="text1"/>
                <w:szCs w:val="20"/>
              </w:rPr>
              <w:t>DoHS</w:t>
            </w:r>
            <w:proofErr w:type="spellEnd"/>
            <w:r w:rsidRPr="000E3192">
              <w:rPr>
                <w:rFonts w:cs="Arial"/>
                <w:color w:val="000000" w:themeColor="text1"/>
                <w:szCs w:val="20"/>
              </w:rPr>
              <w:t xml:space="preserve"> to enable them to deliver against the objectives of NHSP 3, especially </w:t>
            </w:r>
            <w:r w:rsidRPr="000E3192">
              <w:rPr>
                <w:rFonts w:cs="Arial"/>
                <w:bCs/>
                <w:color w:val="000000" w:themeColor="text1"/>
              </w:rPr>
              <w:t xml:space="preserve">policy performance improved through better formulated and implemented policies across the spheres, with governance functions carried out efficiently, effectively, equitably and in a responsive manner.  </w:t>
            </w:r>
            <w:r w:rsidRPr="000E3192">
              <w:rPr>
                <w:rFonts w:cs="Arial"/>
                <w:color w:val="000000" w:themeColor="text1"/>
                <w:szCs w:val="20"/>
              </w:rPr>
              <w:t xml:space="preserve">   </w:t>
            </w:r>
          </w:p>
          <w:p w14:paraId="6F7A986A" w14:textId="77777777" w:rsidR="00A40E75" w:rsidRPr="00E3061C" w:rsidRDefault="00A40E75" w:rsidP="00A40E75">
            <w:pPr>
              <w:jc w:val="both"/>
              <w:rPr>
                <w:rFonts w:cs="Arial"/>
              </w:rPr>
            </w:pPr>
          </w:p>
          <w:p w14:paraId="0FBCB4A3" w14:textId="6CD05F96" w:rsidR="00A40E75" w:rsidRPr="000E3192" w:rsidRDefault="00A40E75" w:rsidP="00A40E75">
            <w:pPr>
              <w:jc w:val="both"/>
              <w:rPr>
                <w:rFonts w:cs="Arial"/>
                <w:color w:val="000000" w:themeColor="text1"/>
                <w:szCs w:val="20"/>
              </w:rPr>
            </w:pPr>
            <w:r w:rsidRPr="00C12B0A">
              <w:rPr>
                <w:rFonts w:cs="Arial"/>
              </w:rPr>
              <w:t xml:space="preserve">The main responsibility of the Pharmacist is to build the technical capacities within the Management Division/Logistics Management Section of the </w:t>
            </w:r>
            <w:proofErr w:type="spellStart"/>
            <w:r w:rsidRPr="00C12B0A">
              <w:rPr>
                <w:rFonts w:cs="Arial"/>
              </w:rPr>
              <w:t>M</w:t>
            </w:r>
            <w:r w:rsidR="00DA6266">
              <w:rPr>
                <w:rFonts w:cs="Arial"/>
              </w:rPr>
              <w:t>oHP</w:t>
            </w:r>
            <w:proofErr w:type="spellEnd"/>
            <w:r w:rsidRPr="00C12B0A">
              <w:rPr>
                <w:rFonts w:cs="Arial"/>
              </w:rPr>
              <w:t>, and provincial &amp; local procurement entities to establish/strengthen procurement processes for pharmaceutical and non-pharmaceutical goods a</w:t>
            </w:r>
            <w:bookmarkStart w:id="0" w:name="_GoBack"/>
            <w:bookmarkEnd w:id="0"/>
            <w:r w:rsidRPr="00C12B0A">
              <w:rPr>
                <w:rFonts w:cs="Arial"/>
              </w:rPr>
              <w:t xml:space="preserve">nd services; ensure that these comply with the procedures of the Public Procurement Act and Regulations of Nepal and of other relevant regulatory authorities; and </w:t>
            </w:r>
            <w:r w:rsidRPr="000E3192">
              <w:rPr>
                <w:rFonts w:cs="Arial"/>
                <w:color w:val="000000" w:themeColor="text1"/>
                <w:szCs w:val="20"/>
              </w:rPr>
              <w:t xml:space="preserve">aim to make processes transparent and duty-bearers accountable.    </w:t>
            </w:r>
          </w:p>
          <w:p w14:paraId="5848D497" w14:textId="1A784E2E" w:rsidR="00A40E75" w:rsidRPr="000E3192" w:rsidRDefault="00A40E75" w:rsidP="00A40E75">
            <w:pPr>
              <w:jc w:val="both"/>
              <w:rPr>
                <w:rFonts w:cs="Arial"/>
                <w:color w:val="000000" w:themeColor="text1"/>
                <w:szCs w:val="20"/>
              </w:rPr>
            </w:pPr>
          </w:p>
        </w:tc>
      </w:tr>
      <w:tr w:rsidR="00A40E75" w:rsidRPr="000E3192" w14:paraId="398FE184" w14:textId="77777777" w:rsidTr="003311A5">
        <w:tc>
          <w:tcPr>
            <w:tcW w:w="5000" w:type="pct"/>
            <w:gridSpan w:val="2"/>
            <w:tcMar>
              <w:top w:w="108" w:type="dxa"/>
              <w:bottom w:w="108" w:type="dxa"/>
            </w:tcMar>
          </w:tcPr>
          <w:p w14:paraId="7FD8C1CD" w14:textId="77777777" w:rsidR="00A40E75" w:rsidRPr="000E3192" w:rsidRDefault="00A40E75" w:rsidP="00A40E75">
            <w:pPr>
              <w:pStyle w:val="Bodytext7"/>
              <w:spacing w:after="0"/>
              <w:ind w:left="0"/>
              <w:jc w:val="left"/>
              <w:rPr>
                <w:rFonts w:cs="Arial"/>
                <w:color w:val="002060"/>
                <w:szCs w:val="20"/>
              </w:rPr>
            </w:pPr>
            <w:r w:rsidRPr="000E3192">
              <w:rPr>
                <w:rFonts w:eastAsiaTheme="minorHAnsi" w:cs="Arial"/>
                <w:b/>
                <w:color w:val="002060"/>
                <w:sz w:val="20"/>
                <w:szCs w:val="22"/>
              </w:rPr>
              <w:t>Main duties</w:t>
            </w:r>
          </w:p>
        </w:tc>
      </w:tr>
      <w:tr w:rsidR="00A40E75" w:rsidRPr="000E3192" w14:paraId="40021C9F" w14:textId="77777777" w:rsidTr="003311A5">
        <w:tc>
          <w:tcPr>
            <w:tcW w:w="5000" w:type="pct"/>
            <w:gridSpan w:val="2"/>
            <w:tcMar>
              <w:top w:w="108" w:type="dxa"/>
              <w:bottom w:w="108" w:type="dxa"/>
            </w:tcMar>
          </w:tcPr>
          <w:p w14:paraId="2DCCA372" w14:textId="3CCD9C1A" w:rsidR="00A40E75" w:rsidRPr="000E3192" w:rsidRDefault="00A40E75" w:rsidP="00A40E75">
            <w:pPr>
              <w:jc w:val="both"/>
              <w:rPr>
                <w:rFonts w:cs="Arial"/>
                <w:color w:val="000000" w:themeColor="text1"/>
                <w:szCs w:val="20"/>
              </w:rPr>
            </w:pPr>
            <w:r w:rsidRPr="000E3192">
              <w:rPr>
                <w:rFonts w:cs="Arial"/>
                <w:color w:val="000000" w:themeColor="text1"/>
                <w:szCs w:val="20"/>
              </w:rPr>
              <w:t xml:space="preserve"> </w:t>
            </w:r>
          </w:p>
          <w:p w14:paraId="26C3F4C1" w14:textId="5D8431A1" w:rsidR="00A40E75" w:rsidRPr="000E3192" w:rsidRDefault="00A40E75" w:rsidP="00A40E75">
            <w:pPr>
              <w:pStyle w:val="Bodytext7"/>
              <w:spacing w:after="0"/>
              <w:ind w:left="0"/>
              <w:jc w:val="left"/>
              <w:rPr>
                <w:rFonts w:eastAsiaTheme="minorHAnsi" w:cs="Arial"/>
                <w:b/>
                <w:color w:val="002060"/>
                <w:sz w:val="20"/>
                <w:szCs w:val="20"/>
              </w:rPr>
            </w:pPr>
            <w:r w:rsidRPr="000E3192">
              <w:rPr>
                <w:rFonts w:eastAsiaTheme="minorHAnsi" w:cs="Arial"/>
                <w:b/>
                <w:color w:val="002060"/>
                <w:sz w:val="20"/>
                <w:szCs w:val="20"/>
              </w:rPr>
              <w:t>Specific technical delivery responsibilities</w:t>
            </w:r>
          </w:p>
          <w:p w14:paraId="28873D86" w14:textId="7204B6A2" w:rsidR="00A40E75" w:rsidRPr="00AC0410" w:rsidRDefault="00A40E75" w:rsidP="00A40E75">
            <w:pPr>
              <w:pStyle w:val="ListParagraph"/>
              <w:numPr>
                <w:ilvl w:val="0"/>
                <w:numId w:val="18"/>
              </w:numPr>
              <w:rPr>
                <w:rFonts w:ascii="Arial" w:hAnsi="Arial" w:cs="Arial"/>
                <w:sz w:val="20"/>
                <w:szCs w:val="20"/>
              </w:rPr>
            </w:pPr>
            <w:r w:rsidRPr="00AC0410">
              <w:rPr>
                <w:rFonts w:ascii="Arial" w:hAnsi="Arial" w:cs="Arial"/>
                <w:sz w:val="20"/>
                <w:szCs w:val="20"/>
              </w:rPr>
              <w:t xml:space="preserve">Lead on the support to government agencies in strengthening Consolidated Annual Procurement Plan (CAPP), </w:t>
            </w:r>
            <w:proofErr w:type="spellStart"/>
            <w:r w:rsidRPr="00AC0410">
              <w:rPr>
                <w:rFonts w:ascii="Arial" w:hAnsi="Arial" w:cs="Arial"/>
                <w:sz w:val="20"/>
                <w:szCs w:val="20"/>
              </w:rPr>
              <w:t>eCAPP</w:t>
            </w:r>
            <w:proofErr w:type="spellEnd"/>
            <w:r w:rsidRPr="00AC0410">
              <w:rPr>
                <w:rFonts w:ascii="Arial" w:hAnsi="Arial" w:cs="Arial"/>
                <w:sz w:val="20"/>
                <w:szCs w:val="20"/>
              </w:rPr>
              <w:t xml:space="preserve">, </w:t>
            </w:r>
            <w:proofErr w:type="spellStart"/>
            <w:r w:rsidRPr="00AC0410">
              <w:rPr>
                <w:rFonts w:ascii="Arial" w:hAnsi="Arial" w:cs="Arial"/>
                <w:sz w:val="20"/>
                <w:szCs w:val="20"/>
              </w:rPr>
              <w:t>eTSB</w:t>
            </w:r>
            <w:proofErr w:type="spellEnd"/>
            <w:r w:rsidRPr="00AC0410">
              <w:rPr>
                <w:rFonts w:ascii="Arial" w:hAnsi="Arial" w:cs="Arial"/>
                <w:sz w:val="20"/>
                <w:szCs w:val="20"/>
              </w:rPr>
              <w:t xml:space="preserve">, logistics management functions, and their systematic use. </w:t>
            </w:r>
          </w:p>
          <w:p w14:paraId="674FFF17" w14:textId="63EBE11F" w:rsidR="00A40E75" w:rsidRPr="00AC0410" w:rsidRDefault="00A40E75" w:rsidP="00A40E75">
            <w:pPr>
              <w:pStyle w:val="ListParagraph"/>
              <w:numPr>
                <w:ilvl w:val="0"/>
                <w:numId w:val="18"/>
              </w:numPr>
              <w:rPr>
                <w:rFonts w:ascii="Arial" w:hAnsi="Arial" w:cs="Arial"/>
                <w:sz w:val="20"/>
                <w:szCs w:val="20"/>
              </w:rPr>
            </w:pPr>
            <w:r w:rsidRPr="00AC0410">
              <w:rPr>
                <w:rFonts w:ascii="Arial" w:hAnsi="Arial" w:cs="Arial"/>
                <w:sz w:val="20"/>
                <w:szCs w:val="20"/>
              </w:rPr>
              <w:t xml:space="preserve">Lead on the support to government agencies to enhance their capacity in procurement and logistics management through strategic engagement in procurement processes </w:t>
            </w:r>
          </w:p>
          <w:p w14:paraId="6C762198" w14:textId="25ED17B0" w:rsidR="00A40E75" w:rsidRPr="00AC0410" w:rsidRDefault="00A40E75" w:rsidP="00A40E75">
            <w:pPr>
              <w:pStyle w:val="ListParagraph"/>
              <w:numPr>
                <w:ilvl w:val="0"/>
                <w:numId w:val="18"/>
              </w:numPr>
              <w:rPr>
                <w:rFonts w:ascii="Arial" w:hAnsi="Arial" w:cs="Arial"/>
                <w:sz w:val="20"/>
                <w:szCs w:val="20"/>
              </w:rPr>
            </w:pPr>
            <w:r w:rsidRPr="00AC0410">
              <w:rPr>
                <w:rFonts w:ascii="Arial" w:hAnsi="Arial" w:cs="Arial"/>
                <w:sz w:val="20"/>
                <w:szCs w:val="20"/>
              </w:rPr>
              <w:t xml:space="preserve">Lead on the support to MD/LMS to revise the Technical Specifications of essential medicines, vaccines, contraceptives and surgical goods and equipment; and support updates to the Technical Specification Bank (TSB) of </w:t>
            </w:r>
            <w:proofErr w:type="spellStart"/>
            <w:r w:rsidRPr="00AC0410">
              <w:rPr>
                <w:rFonts w:ascii="Arial" w:hAnsi="Arial" w:cs="Arial"/>
                <w:sz w:val="20"/>
                <w:szCs w:val="20"/>
              </w:rPr>
              <w:t>DoHS</w:t>
            </w:r>
            <w:proofErr w:type="spellEnd"/>
            <w:r w:rsidRPr="00AC0410">
              <w:rPr>
                <w:rFonts w:ascii="Arial" w:hAnsi="Arial" w:cs="Arial"/>
                <w:sz w:val="20"/>
                <w:szCs w:val="20"/>
              </w:rPr>
              <w:t xml:space="preserve">-MD/LMS to ensure high quality medicines and equipment are procured. </w:t>
            </w:r>
          </w:p>
          <w:p w14:paraId="2B8993E0" w14:textId="4603C6E8" w:rsidR="00A40E75" w:rsidRPr="00C12B0A" w:rsidRDefault="00A40E75" w:rsidP="00A40E75">
            <w:pPr>
              <w:pStyle w:val="ListParagraph"/>
              <w:numPr>
                <w:ilvl w:val="0"/>
                <w:numId w:val="18"/>
              </w:numPr>
              <w:rPr>
                <w:rFonts w:ascii="Arial" w:hAnsi="Arial" w:cs="Arial"/>
                <w:sz w:val="20"/>
                <w:szCs w:val="20"/>
              </w:rPr>
            </w:pPr>
            <w:r w:rsidRPr="00AC0410">
              <w:rPr>
                <w:rFonts w:cs="Arial"/>
                <w:szCs w:val="20"/>
              </w:rPr>
              <w:t xml:space="preserve">Lead on the technical support in preparing the Standard </w:t>
            </w:r>
            <w:proofErr w:type="gramStart"/>
            <w:r w:rsidRPr="00AC0410">
              <w:rPr>
                <w:rFonts w:cs="Arial"/>
                <w:szCs w:val="20"/>
              </w:rPr>
              <w:t>Operating  Procedures</w:t>
            </w:r>
            <w:proofErr w:type="gramEnd"/>
            <w:r w:rsidRPr="00AC0410">
              <w:rPr>
                <w:rFonts w:cs="Arial"/>
                <w:szCs w:val="20"/>
              </w:rPr>
              <w:t xml:space="preserve"> (SOPs)/Guidelines for pre-shipment inspection (PSI) and post-delivery inspection (PDI) of pharmaceutical and non-pharmaceutical surgical goods under contract </w:t>
            </w:r>
            <w:r w:rsidRPr="00C12B0A">
              <w:rPr>
                <w:rFonts w:ascii="Arial" w:hAnsi="Arial" w:cs="Arial"/>
                <w:sz w:val="20"/>
                <w:szCs w:val="20"/>
              </w:rPr>
              <w:t xml:space="preserve">(pharmaceuticals, vaccines, family planning, reproductive health commodities, and medical equipment). </w:t>
            </w:r>
          </w:p>
          <w:p w14:paraId="4ADFE2C3" w14:textId="00A6306A" w:rsidR="00A40E75" w:rsidRPr="00AC0410" w:rsidRDefault="00A40E75" w:rsidP="00A40E75">
            <w:pPr>
              <w:pStyle w:val="ListParagraph"/>
              <w:numPr>
                <w:ilvl w:val="0"/>
                <w:numId w:val="18"/>
              </w:numPr>
              <w:rPr>
                <w:rFonts w:ascii="Arial" w:hAnsi="Arial" w:cs="Arial"/>
                <w:sz w:val="20"/>
                <w:szCs w:val="20"/>
              </w:rPr>
            </w:pPr>
            <w:r w:rsidRPr="00AC0410">
              <w:rPr>
                <w:rFonts w:ascii="Arial" w:hAnsi="Arial" w:cs="Arial"/>
                <w:sz w:val="20"/>
                <w:szCs w:val="20"/>
              </w:rPr>
              <w:t xml:space="preserve">Support </w:t>
            </w:r>
            <w:proofErr w:type="gramStart"/>
            <w:r w:rsidRPr="00AC0410">
              <w:rPr>
                <w:rFonts w:ascii="Arial" w:hAnsi="Arial" w:cs="Arial"/>
                <w:sz w:val="20"/>
                <w:szCs w:val="20"/>
              </w:rPr>
              <w:t xml:space="preserve">the </w:t>
            </w:r>
            <w:r>
              <w:rPr>
                <w:rFonts w:ascii="Arial" w:hAnsi="Arial" w:cs="Arial"/>
                <w:sz w:val="20"/>
                <w:szCs w:val="20"/>
              </w:rPr>
              <w:t xml:space="preserve"> preparation</w:t>
            </w:r>
            <w:proofErr w:type="gramEnd"/>
            <w:r>
              <w:rPr>
                <w:rFonts w:ascii="Arial" w:hAnsi="Arial" w:cs="Arial"/>
                <w:sz w:val="20"/>
                <w:szCs w:val="20"/>
              </w:rPr>
              <w:t xml:space="preserve"> and </w:t>
            </w:r>
            <w:r w:rsidRPr="00AC0410">
              <w:rPr>
                <w:rFonts w:ascii="Arial" w:hAnsi="Arial" w:cs="Arial"/>
                <w:sz w:val="20"/>
                <w:szCs w:val="20"/>
              </w:rPr>
              <w:t xml:space="preserve">systematic use of </w:t>
            </w:r>
            <w:r>
              <w:rPr>
                <w:rFonts w:ascii="Arial" w:hAnsi="Arial" w:cs="Arial"/>
                <w:sz w:val="20"/>
                <w:szCs w:val="20"/>
              </w:rPr>
              <w:t xml:space="preserve">the above </w:t>
            </w:r>
            <w:r w:rsidRPr="00AC0410">
              <w:rPr>
                <w:rFonts w:ascii="Arial" w:hAnsi="Arial" w:cs="Arial"/>
                <w:sz w:val="20"/>
                <w:szCs w:val="20"/>
              </w:rPr>
              <w:t>SOPs</w:t>
            </w:r>
            <w:r>
              <w:rPr>
                <w:rFonts w:ascii="Arial" w:hAnsi="Arial" w:cs="Arial"/>
                <w:sz w:val="20"/>
                <w:szCs w:val="20"/>
              </w:rPr>
              <w:t xml:space="preserve"> and guidelines (and any other relevant ones) at </w:t>
            </w:r>
            <w:r w:rsidRPr="004B6644">
              <w:rPr>
                <w:rFonts w:ascii="Arial" w:hAnsi="Arial" w:cs="Arial"/>
                <w:sz w:val="20"/>
                <w:szCs w:val="20"/>
              </w:rPr>
              <w:t>all levels of governments' procuring entities</w:t>
            </w:r>
            <w:r>
              <w:rPr>
                <w:rFonts w:ascii="Arial" w:hAnsi="Arial" w:cs="Arial"/>
                <w:sz w:val="20"/>
                <w:szCs w:val="20"/>
              </w:rPr>
              <w:t xml:space="preserve">; </w:t>
            </w:r>
            <w:r w:rsidRPr="00AC0410">
              <w:rPr>
                <w:rFonts w:ascii="Arial" w:hAnsi="Arial" w:cs="Arial"/>
                <w:sz w:val="20"/>
                <w:szCs w:val="20"/>
              </w:rPr>
              <w:t>provide planning support, and formal training on the implementation of the SOPs.</w:t>
            </w:r>
          </w:p>
          <w:p w14:paraId="102ED8FF" w14:textId="19F285AE" w:rsidR="00A40E75" w:rsidRPr="00AC0410" w:rsidRDefault="00A40E75" w:rsidP="00A40E75">
            <w:pPr>
              <w:pStyle w:val="ListParagraph"/>
              <w:numPr>
                <w:ilvl w:val="0"/>
                <w:numId w:val="18"/>
              </w:numPr>
              <w:rPr>
                <w:rFonts w:ascii="Arial" w:hAnsi="Arial" w:cs="Arial"/>
                <w:sz w:val="20"/>
                <w:szCs w:val="20"/>
              </w:rPr>
            </w:pPr>
            <w:r w:rsidRPr="00AC0410">
              <w:rPr>
                <w:rFonts w:ascii="Arial" w:hAnsi="Arial" w:cs="Arial"/>
                <w:sz w:val="20"/>
                <w:szCs w:val="20"/>
              </w:rPr>
              <w:t>Provide technical support on developing sampling parameters, sampling protocols and methodologies</w:t>
            </w:r>
            <w:r>
              <w:rPr>
                <w:rFonts w:ascii="Arial" w:hAnsi="Arial" w:cs="Arial"/>
                <w:sz w:val="20"/>
                <w:szCs w:val="20"/>
              </w:rPr>
              <w:t xml:space="preserve"> </w:t>
            </w:r>
            <w:r w:rsidRPr="00AC0410">
              <w:rPr>
                <w:rFonts w:ascii="Arial" w:hAnsi="Arial" w:cs="Arial"/>
                <w:sz w:val="20"/>
                <w:szCs w:val="20"/>
              </w:rPr>
              <w:t>for laboratory testing</w:t>
            </w:r>
            <w:r>
              <w:rPr>
                <w:rFonts w:ascii="Arial" w:hAnsi="Arial" w:cs="Arial"/>
                <w:sz w:val="20"/>
                <w:szCs w:val="20"/>
              </w:rPr>
              <w:t xml:space="preserve"> of any items</w:t>
            </w:r>
            <w:r w:rsidRPr="00AC0410">
              <w:rPr>
                <w:rFonts w:ascii="Arial" w:hAnsi="Arial" w:cs="Arial"/>
                <w:sz w:val="20"/>
                <w:szCs w:val="20"/>
              </w:rPr>
              <w:t xml:space="preserve">. </w:t>
            </w:r>
          </w:p>
          <w:p w14:paraId="70475A2B" w14:textId="215AFDD1" w:rsidR="00A40E75" w:rsidRPr="000E3192" w:rsidRDefault="00A40E75" w:rsidP="00A40E75">
            <w:pPr>
              <w:pStyle w:val="ListParagraph"/>
              <w:numPr>
                <w:ilvl w:val="0"/>
                <w:numId w:val="18"/>
              </w:numPr>
              <w:rPr>
                <w:rFonts w:ascii="Arial" w:hAnsi="Arial" w:cs="Arial"/>
                <w:sz w:val="20"/>
                <w:szCs w:val="20"/>
              </w:rPr>
            </w:pPr>
            <w:r w:rsidRPr="00AC0410">
              <w:rPr>
                <w:rFonts w:ascii="Arial" w:hAnsi="Arial" w:cs="Arial"/>
                <w:sz w:val="20"/>
                <w:szCs w:val="20"/>
              </w:rPr>
              <w:t>Lead on developing the quality assurance plan (QAP</w:t>
            </w:r>
            <w:r w:rsidRPr="000E3192">
              <w:rPr>
                <w:rFonts w:ascii="Arial" w:hAnsi="Arial" w:cs="Arial"/>
                <w:sz w:val="20"/>
                <w:szCs w:val="20"/>
              </w:rPr>
              <w:t xml:space="preserve">) and support the MD/LMS to regularly use it for procurement and supply chain of pharmaceutical products. </w:t>
            </w:r>
          </w:p>
          <w:p w14:paraId="7F519BC8" w14:textId="07FF1E0F" w:rsidR="00A40E75" w:rsidRPr="000E3192" w:rsidRDefault="00A40E75" w:rsidP="00A40E75">
            <w:pPr>
              <w:pStyle w:val="ListParagraph"/>
              <w:numPr>
                <w:ilvl w:val="0"/>
                <w:numId w:val="18"/>
              </w:numPr>
              <w:rPr>
                <w:rFonts w:ascii="Arial" w:hAnsi="Arial" w:cs="Arial"/>
                <w:sz w:val="20"/>
                <w:szCs w:val="20"/>
              </w:rPr>
            </w:pPr>
            <w:r w:rsidRPr="000E3192">
              <w:rPr>
                <w:rFonts w:ascii="Arial" w:hAnsi="Arial" w:cs="Arial"/>
                <w:sz w:val="20"/>
                <w:szCs w:val="20"/>
              </w:rPr>
              <w:t>Ensure provision of technical assistance for the capacity building for of personnel working on procurement quality assurance at federal, provincial and local government levels.</w:t>
            </w:r>
          </w:p>
          <w:p w14:paraId="1E726847" w14:textId="2E60D975" w:rsidR="00A40E75" w:rsidRPr="00B75A49" w:rsidRDefault="00A40E75" w:rsidP="00A40E75">
            <w:pPr>
              <w:pStyle w:val="ListParagraph"/>
              <w:numPr>
                <w:ilvl w:val="0"/>
                <w:numId w:val="18"/>
              </w:numPr>
              <w:rPr>
                <w:rFonts w:ascii="Arial" w:hAnsi="Arial" w:cs="Arial"/>
                <w:sz w:val="20"/>
                <w:szCs w:val="20"/>
              </w:rPr>
            </w:pPr>
            <w:r>
              <w:rPr>
                <w:rFonts w:ascii="Arial" w:hAnsi="Arial" w:cs="Arial"/>
                <w:sz w:val="20"/>
                <w:szCs w:val="20"/>
              </w:rPr>
              <w:t xml:space="preserve">Support </w:t>
            </w:r>
            <w:proofErr w:type="spellStart"/>
            <w:r>
              <w:rPr>
                <w:rFonts w:ascii="Arial" w:hAnsi="Arial" w:cs="Arial"/>
                <w:sz w:val="20"/>
                <w:szCs w:val="20"/>
              </w:rPr>
              <w:t>MoHP</w:t>
            </w:r>
            <w:proofErr w:type="spellEnd"/>
            <w:r>
              <w:rPr>
                <w:rFonts w:ascii="Arial" w:hAnsi="Arial" w:cs="Arial"/>
                <w:sz w:val="20"/>
                <w:szCs w:val="20"/>
              </w:rPr>
              <w:t>/</w:t>
            </w:r>
            <w:proofErr w:type="spellStart"/>
            <w:r>
              <w:rPr>
                <w:rFonts w:ascii="Arial" w:hAnsi="Arial" w:cs="Arial"/>
                <w:sz w:val="20"/>
                <w:szCs w:val="20"/>
              </w:rPr>
              <w:t>DoHS</w:t>
            </w:r>
            <w:proofErr w:type="spellEnd"/>
            <w:r>
              <w:rPr>
                <w:rFonts w:ascii="Arial" w:hAnsi="Arial" w:cs="Arial"/>
                <w:sz w:val="20"/>
                <w:szCs w:val="20"/>
              </w:rPr>
              <w:t xml:space="preserve"> to</w:t>
            </w:r>
            <w:r w:rsidRPr="00B75A49">
              <w:rPr>
                <w:rFonts w:cs="Arial"/>
                <w:szCs w:val="20"/>
              </w:rPr>
              <w:t xml:space="preserve"> </w:t>
            </w:r>
            <w:r>
              <w:rPr>
                <w:rFonts w:ascii="Arial" w:hAnsi="Arial" w:cs="Arial"/>
                <w:sz w:val="20"/>
                <w:szCs w:val="20"/>
              </w:rPr>
              <w:t>u</w:t>
            </w:r>
            <w:r w:rsidRPr="00B75A49">
              <w:rPr>
                <w:rFonts w:cs="Arial"/>
                <w:szCs w:val="20"/>
              </w:rPr>
              <w:t>ndertake a</w:t>
            </w:r>
            <w:r>
              <w:rPr>
                <w:rFonts w:ascii="Arial" w:hAnsi="Arial" w:cs="Arial"/>
                <w:sz w:val="20"/>
                <w:szCs w:val="20"/>
              </w:rPr>
              <w:t xml:space="preserve"> periodic rapid</w:t>
            </w:r>
            <w:r w:rsidRPr="00B75A49">
              <w:rPr>
                <w:rFonts w:cs="Arial"/>
                <w:szCs w:val="20"/>
              </w:rPr>
              <w:t xml:space="preserve"> market survey on drugs</w:t>
            </w:r>
            <w:r>
              <w:rPr>
                <w:rFonts w:ascii="Arial" w:hAnsi="Arial" w:cs="Arial"/>
                <w:sz w:val="20"/>
                <w:szCs w:val="20"/>
              </w:rPr>
              <w:t>,</w:t>
            </w:r>
            <w:r w:rsidRPr="00B75A49">
              <w:rPr>
                <w:rFonts w:cs="Arial"/>
                <w:szCs w:val="20"/>
              </w:rPr>
              <w:t xml:space="preserve"> </w:t>
            </w:r>
            <w:r>
              <w:rPr>
                <w:rFonts w:ascii="Arial" w:hAnsi="Arial" w:cs="Arial"/>
                <w:sz w:val="20"/>
                <w:szCs w:val="20"/>
              </w:rPr>
              <w:t xml:space="preserve">an </w:t>
            </w:r>
            <w:r w:rsidRPr="00B75A49">
              <w:rPr>
                <w:rFonts w:cs="Arial"/>
                <w:szCs w:val="20"/>
              </w:rPr>
              <w:t>assessment of quality of medicines</w:t>
            </w:r>
            <w:r>
              <w:rPr>
                <w:rFonts w:ascii="Arial" w:hAnsi="Arial" w:cs="Arial"/>
                <w:sz w:val="20"/>
                <w:szCs w:val="20"/>
              </w:rPr>
              <w:t xml:space="preserve">, and </w:t>
            </w:r>
            <w:r w:rsidRPr="00B75A49">
              <w:rPr>
                <w:rFonts w:cs="Arial"/>
                <w:szCs w:val="20"/>
              </w:rPr>
              <w:t>an assessment of the use of information systems including LMIS</w:t>
            </w:r>
            <w:r>
              <w:rPr>
                <w:rFonts w:ascii="Arial" w:hAnsi="Arial" w:cs="Arial"/>
                <w:sz w:val="20"/>
                <w:szCs w:val="20"/>
              </w:rPr>
              <w:t>; and support the strengthening of the procurement chain</w:t>
            </w:r>
            <w:r w:rsidRPr="00B75A49">
              <w:rPr>
                <w:rFonts w:cs="Arial"/>
                <w:szCs w:val="20"/>
              </w:rPr>
              <w:t xml:space="preserve">. </w:t>
            </w:r>
          </w:p>
          <w:p w14:paraId="56A63A4A" w14:textId="6A5BB850" w:rsidR="00A40E75" w:rsidRDefault="00A40E75" w:rsidP="00A40E75">
            <w:pPr>
              <w:pStyle w:val="ListParagraph"/>
              <w:numPr>
                <w:ilvl w:val="0"/>
                <w:numId w:val="18"/>
              </w:numPr>
              <w:rPr>
                <w:rFonts w:ascii="Arial" w:hAnsi="Arial" w:cs="Arial"/>
                <w:sz w:val="20"/>
                <w:szCs w:val="20"/>
              </w:rPr>
            </w:pPr>
            <w:r>
              <w:rPr>
                <w:rFonts w:ascii="Arial" w:hAnsi="Arial" w:cs="Arial"/>
                <w:sz w:val="20"/>
                <w:szCs w:val="20"/>
              </w:rPr>
              <w:t xml:space="preserve">Support the </w:t>
            </w:r>
            <w:proofErr w:type="spellStart"/>
            <w:r>
              <w:rPr>
                <w:rFonts w:ascii="Arial" w:hAnsi="Arial" w:cs="Arial"/>
                <w:sz w:val="20"/>
                <w:szCs w:val="20"/>
              </w:rPr>
              <w:t>MoHP</w:t>
            </w:r>
            <w:proofErr w:type="spellEnd"/>
            <w:r>
              <w:rPr>
                <w:rFonts w:ascii="Arial" w:hAnsi="Arial" w:cs="Arial"/>
                <w:sz w:val="20"/>
                <w:szCs w:val="20"/>
              </w:rPr>
              <w:t>/</w:t>
            </w:r>
            <w:proofErr w:type="spellStart"/>
            <w:r>
              <w:rPr>
                <w:rFonts w:ascii="Arial" w:hAnsi="Arial" w:cs="Arial"/>
                <w:sz w:val="20"/>
                <w:szCs w:val="20"/>
              </w:rPr>
              <w:t>DoHS</w:t>
            </w:r>
            <w:proofErr w:type="spellEnd"/>
            <w:r>
              <w:rPr>
                <w:rFonts w:ascii="Arial" w:hAnsi="Arial" w:cs="Arial"/>
                <w:sz w:val="20"/>
                <w:szCs w:val="20"/>
              </w:rPr>
              <w:t xml:space="preserve"> to u</w:t>
            </w:r>
            <w:r w:rsidRPr="00C12B0A">
              <w:rPr>
                <w:rFonts w:ascii="Arial" w:hAnsi="Arial" w:cs="Arial"/>
                <w:sz w:val="20"/>
                <w:szCs w:val="20"/>
              </w:rPr>
              <w:t xml:space="preserve">ndertake an </w:t>
            </w:r>
            <w:proofErr w:type="spellStart"/>
            <w:r w:rsidRPr="00C12B0A">
              <w:rPr>
                <w:rFonts w:ascii="Arial" w:hAnsi="Arial" w:cs="Arial"/>
                <w:sz w:val="20"/>
                <w:szCs w:val="20"/>
              </w:rPr>
              <w:t>indepth</w:t>
            </w:r>
            <w:proofErr w:type="spellEnd"/>
            <w:r>
              <w:rPr>
                <w:rFonts w:ascii="Arial" w:hAnsi="Arial" w:cs="Arial"/>
                <w:sz w:val="20"/>
                <w:szCs w:val="20"/>
              </w:rPr>
              <w:t xml:space="preserve"> review and assessment of the drug procurement practices, identify any</w:t>
            </w:r>
            <w:r w:rsidRPr="00C12B0A">
              <w:rPr>
                <w:rFonts w:ascii="Arial" w:hAnsi="Arial" w:cs="Arial"/>
                <w:sz w:val="20"/>
                <w:szCs w:val="20"/>
              </w:rPr>
              <w:t xml:space="preserve"> bottlenecks and solutions to </w:t>
            </w:r>
            <w:r>
              <w:rPr>
                <w:rFonts w:ascii="Arial" w:hAnsi="Arial" w:cs="Arial"/>
                <w:sz w:val="20"/>
                <w:szCs w:val="20"/>
              </w:rPr>
              <w:t>strengthen the system, and provide tailored technical support to the relevant government departments to chart out a roadmap to implement any recommendations arising from the review</w:t>
            </w:r>
            <w:r w:rsidRPr="00C12B0A">
              <w:rPr>
                <w:rFonts w:ascii="Arial" w:hAnsi="Arial" w:cs="Arial"/>
                <w:sz w:val="20"/>
                <w:szCs w:val="20"/>
              </w:rPr>
              <w:t xml:space="preserve">. </w:t>
            </w:r>
          </w:p>
          <w:p w14:paraId="7ADB062F" w14:textId="48D51DCE" w:rsidR="00A40E75" w:rsidRPr="0065349F" w:rsidRDefault="00A40E75" w:rsidP="00A40E75">
            <w:pPr>
              <w:pStyle w:val="ListParagraph"/>
              <w:numPr>
                <w:ilvl w:val="0"/>
                <w:numId w:val="18"/>
              </w:numPr>
              <w:spacing w:after="200" w:line="276" w:lineRule="auto"/>
              <w:rPr>
                <w:rFonts w:ascii="Arial" w:hAnsi="Arial" w:cs="Arial"/>
                <w:sz w:val="20"/>
                <w:szCs w:val="20"/>
              </w:rPr>
            </w:pPr>
            <w:r>
              <w:rPr>
                <w:rFonts w:ascii="Arial" w:hAnsi="Arial" w:cs="Arial"/>
                <w:sz w:val="20"/>
                <w:szCs w:val="20"/>
              </w:rPr>
              <w:t xml:space="preserve">In collaboration with other EDPs, support the </w:t>
            </w:r>
            <w:proofErr w:type="spellStart"/>
            <w:r>
              <w:rPr>
                <w:rFonts w:ascii="Arial" w:hAnsi="Arial" w:cs="Arial"/>
                <w:sz w:val="20"/>
                <w:szCs w:val="20"/>
              </w:rPr>
              <w:t>MoHP</w:t>
            </w:r>
            <w:proofErr w:type="spellEnd"/>
            <w:r>
              <w:rPr>
                <w:rFonts w:ascii="Arial" w:hAnsi="Arial" w:cs="Arial"/>
                <w:sz w:val="20"/>
                <w:szCs w:val="20"/>
              </w:rPr>
              <w:t>/</w:t>
            </w:r>
            <w:proofErr w:type="spellStart"/>
            <w:r>
              <w:rPr>
                <w:rFonts w:ascii="Arial" w:hAnsi="Arial" w:cs="Arial"/>
                <w:sz w:val="20"/>
                <w:szCs w:val="20"/>
              </w:rPr>
              <w:t>DoHS</w:t>
            </w:r>
            <w:proofErr w:type="spellEnd"/>
            <w:r>
              <w:rPr>
                <w:rFonts w:ascii="Arial" w:hAnsi="Arial" w:cs="Arial"/>
                <w:sz w:val="20"/>
                <w:szCs w:val="20"/>
              </w:rPr>
              <w:t xml:space="preserve"> to undertake a review of </w:t>
            </w:r>
            <w:r w:rsidRPr="004B6644">
              <w:rPr>
                <w:rFonts w:ascii="Arial" w:hAnsi="Arial" w:cs="Arial"/>
                <w:sz w:val="20"/>
                <w:szCs w:val="20"/>
              </w:rPr>
              <w:t xml:space="preserve">the </w:t>
            </w:r>
            <w:r>
              <w:rPr>
                <w:rFonts w:ascii="Arial" w:hAnsi="Arial" w:cs="Arial"/>
                <w:sz w:val="20"/>
                <w:szCs w:val="20"/>
              </w:rPr>
              <w:t xml:space="preserve">essential medicines </w:t>
            </w:r>
            <w:r w:rsidRPr="004B6644">
              <w:rPr>
                <w:rFonts w:ascii="Arial" w:hAnsi="Arial" w:cs="Arial"/>
                <w:sz w:val="20"/>
                <w:szCs w:val="20"/>
              </w:rPr>
              <w:t>supply chain</w:t>
            </w:r>
            <w:r>
              <w:rPr>
                <w:rFonts w:ascii="Arial" w:hAnsi="Arial" w:cs="Arial"/>
                <w:sz w:val="20"/>
                <w:szCs w:val="20"/>
              </w:rPr>
              <w:t xml:space="preserve"> </w:t>
            </w:r>
            <w:r w:rsidRPr="00C12B0A">
              <w:rPr>
                <w:rFonts w:ascii="Arial" w:hAnsi="Arial" w:cs="Arial"/>
                <w:sz w:val="20"/>
                <w:szCs w:val="20"/>
              </w:rPr>
              <w:t xml:space="preserve">(particularly MNH related) </w:t>
            </w:r>
            <w:r>
              <w:rPr>
                <w:rFonts w:ascii="Arial" w:hAnsi="Arial" w:cs="Arial"/>
                <w:sz w:val="20"/>
                <w:szCs w:val="20"/>
              </w:rPr>
              <w:t xml:space="preserve">to identify root causes for stock-outs at </w:t>
            </w:r>
            <w:r w:rsidRPr="00C12B0A">
              <w:rPr>
                <w:rFonts w:ascii="Arial" w:hAnsi="Arial" w:cs="Arial"/>
                <w:sz w:val="20"/>
                <w:szCs w:val="20"/>
              </w:rPr>
              <w:t>facility level</w:t>
            </w:r>
            <w:r>
              <w:rPr>
                <w:rFonts w:ascii="Arial" w:hAnsi="Arial" w:cs="Arial"/>
                <w:sz w:val="20"/>
                <w:szCs w:val="20"/>
              </w:rPr>
              <w:t xml:space="preserve"> and identity ways in which these can be addressed</w:t>
            </w:r>
            <w:r w:rsidRPr="00C12B0A">
              <w:rPr>
                <w:rFonts w:ascii="Arial" w:hAnsi="Arial" w:cs="Arial"/>
                <w:sz w:val="20"/>
                <w:szCs w:val="20"/>
              </w:rPr>
              <w:t xml:space="preserve">.  </w:t>
            </w:r>
            <w:r>
              <w:rPr>
                <w:rFonts w:ascii="Arial" w:hAnsi="Arial" w:cs="Arial"/>
                <w:sz w:val="20"/>
                <w:szCs w:val="20"/>
              </w:rPr>
              <w:t xml:space="preserve"> </w:t>
            </w:r>
          </w:p>
          <w:p w14:paraId="3453B163" w14:textId="4794E230" w:rsidR="00A40E75" w:rsidRPr="000E3192" w:rsidRDefault="00A40E75" w:rsidP="00A40E75">
            <w:pPr>
              <w:ind w:left="360"/>
              <w:jc w:val="both"/>
              <w:rPr>
                <w:rFonts w:cs="Arial"/>
                <w:color w:val="548DD4" w:themeColor="text2" w:themeTint="99"/>
                <w:szCs w:val="20"/>
              </w:rPr>
            </w:pPr>
          </w:p>
          <w:p w14:paraId="09C90533" w14:textId="38572027" w:rsidR="00A40E75" w:rsidRPr="000E3192" w:rsidRDefault="00A40E75" w:rsidP="00A40E75">
            <w:pPr>
              <w:pStyle w:val="Bodytext7"/>
              <w:spacing w:after="0"/>
              <w:ind w:left="0"/>
              <w:jc w:val="left"/>
              <w:rPr>
                <w:rFonts w:eastAsiaTheme="minorHAnsi" w:cs="Arial"/>
                <w:b/>
                <w:color w:val="002060"/>
                <w:sz w:val="20"/>
                <w:szCs w:val="20"/>
              </w:rPr>
            </w:pPr>
            <w:r w:rsidRPr="000E3192">
              <w:rPr>
                <w:rFonts w:eastAsiaTheme="minorHAnsi" w:cs="Arial"/>
                <w:b/>
                <w:color w:val="002060"/>
                <w:sz w:val="20"/>
                <w:szCs w:val="20"/>
              </w:rPr>
              <w:t>Cross-team responsibilities</w:t>
            </w:r>
          </w:p>
          <w:p w14:paraId="3E660860" w14:textId="5B50627C" w:rsidR="00A40E75" w:rsidRPr="000E3192" w:rsidRDefault="00A40E75" w:rsidP="00A40E75">
            <w:pPr>
              <w:numPr>
                <w:ilvl w:val="0"/>
                <w:numId w:val="18"/>
              </w:numPr>
              <w:contextualSpacing/>
              <w:jc w:val="both"/>
              <w:rPr>
                <w:rFonts w:cs="Arial"/>
                <w:color w:val="000000" w:themeColor="text1"/>
                <w:szCs w:val="20"/>
              </w:rPr>
            </w:pPr>
            <w:r w:rsidRPr="000E3192">
              <w:rPr>
                <w:rFonts w:cs="Arial"/>
                <w:color w:val="000000" w:themeColor="text1"/>
                <w:szCs w:val="20"/>
              </w:rPr>
              <w:t xml:space="preserve">Provide substantive inputs to evidence building and knowledge management on essential drugs, procurement and related issues, and share knowledge/information such as policies, health planning and programming, budget profiles, procurement, and health outcomes within NHSSP. </w:t>
            </w:r>
          </w:p>
          <w:p w14:paraId="2FC9AAFE" w14:textId="2C636760" w:rsidR="00A40E75" w:rsidRPr="000E3192" w:rsidRDefault="00A40E75" w:rsidP="00A40E75">
            <w:pPr>
              <w:pStyle w:val="ListParagraph"/>
              <w:numPr>
                <w:ilvl w:val="0"/>
                <w:numId w:val="18"/>
              </w:numPr>
              <w:rPr>
                <w:rFonts w:ascii="Arial" w:hAnsi="Arial" w:cs="Arial"/>
                <w:color w:val="000000" w:themeColor="text1"/>
                <w:sz w:val="20"/>
                <w:szCs w:val="20"/>
              </w:rPr>
            </w:pPr>
            <w:r w:rsidRPr="000E3192">
              <w:rPr>
                <w:rFonts w:ascii="Arial" w:hAnsi="Arial" w:cs="Arial"/>
                <w:color w:val="000000" w:themeColor="text1"/>
                <w:sz w:val="20"/>
                <w:szCs w:val="20"/>
              </w:rPr>
              <w:t>Provide technical inputs to and support institutionalisation of various programme monitoring mechanisms within the government system related to L&amp;G thematic area.</w:t>
            </w:r>
          </w:p>
          <w:p w14:paraId="21DB03AD" w14:textId="2BC5C01C" w:rsidR="00A40E75" w:rsidRPr="000E3192" w:rsidRDefault="00A40E75" w:rsidP="00A40E75">
            <w:pPr>
              <w:pStyle w:val="ListParagraph"/>
              <w:numPr>
                <w:ilvl w:val="0"/>
                <w:numId w:val="18"/>
              </w:numPr>
              <w:rPr>
                <w:rFonts w:ascii="Arial" w:hAnsi="Arial" w:cs="Arial"/>
                <w:color w:val="000000" w:themeColor="text1"/>
                <w:sz w:val="20"/>
                <w:szCs w:val="20"/>
              </w:rPr>
            </w:pPr>
            <w:r w:rsidRPr="000E3192">
              <w:rPr>
                <w:rFonts w:ascii="Arial" w:hAnsi="Arial" w:cs="Arial"/>
                <w:color w:val="000000" w:themeColor="text1"/>
                <w:sz w:val="20"/>
                <w:szCs w:val="20"/>
              </w:rPr>
              <w:t xml:space="preserve">Support technical discussions and provide inputs to </w:t>
            </w:r>
            <w:proofErr w:type="spellStart"/>
            <w:r w:rsidRPr="000E3192">
              <w:rPr>
                <w:rFonts w:ascii="Arial" w:hAnsi="Arial" w:cs="Arial"/>
                <w:color w:val="000000" w:themeColor="text1"/>
                <w:sz w:val="20"/>
                <w:szCs w:val="20"/>
              </w:rPr>
              <w:t>DoHS</w:t>
            </w:r>
            <w:proofErr w:type="spellEnd"/>
            <w:r w:rsidRPr="000E3192">
              <w:rPr>
                <w:rFonts w:ascii="Arial" w:hAnsi="Arial" w:cs="Arial"/>
                <w:color w:val="000000" w:themeColor="text1"/>
                <w:sz w:val="20"/>
                <w:szCs w:val="20"/>
              </w:rPr>
              <w:t>/</w:t>
            </w:r>
            <w:proofErr w:type="spellStart"/>
            <w:r w:rsidRPr="000E3192">
              <w:rPr>
                <w:rFonts w:ascii="Arial" w:hAnsi="Arial" w:cs="Arial"/>
                <w:color w:val="000000" w:themeColor="text1"/>
                <w:sz w:val="20"/>
                <w:szCs w:val="20"/>
              </w:rPr>
              <w:t>MoHP</w:t>
            </w:r>
            <w:proofErr w:type="spellEnd"/>
            <w:r w:rsidRPr="000E3192">
              <w:rPr>
                <w:rFonts w:ascii="Arial" w:hAnsi="Arial" w:cs="Arial"/>
                <w:color w:val="000000" w:themeColor="text1"/>
                <w:sz w:val="20"/>
                <w:szCs w:val="20"/>
              </w:rPr>
              <w:t xml:space="preserve"> and draw out implication for sustaining effectively delivery of the BHCS and other NHSSP supported TA programmes, that involve procurement of essential drugs and commodities. </w:t>
            </w:r>
          </w:p>
          <w:p w14:paraId="2EB28E42" w14:textId="79D8AB3F" w:rsidR="00A40E75" w:rsidRPr="000E3192" w:rsidRDefault="00A40E75" w:rsidP="00A40E75">
            <w:pPr>
              <w:pStyle w:val="ListParagraph"/>
              <w:numPr>
                <w:ilvl w:val="0"/>
                <w:numId w:val="18"/>
              </w:numPr>
              <w:rPr>
                <w:rFonts w:ascii="Arial" w:hAnsi="Arial" w:cs="Arial"/>
                <w:color w:val="000000" w:themeColor="text1"/>
                <w:sz w:val="20"/>
                <w:szCs w:val="20"/>
              </w:rPr>
            </w:pPr>
            <w:r w:rsidRPr="000E3192">
              <w:rPr>
                <w:rFonts w:ascii="Arial" w:hAnsi="Arial" w:cs="Arial"/>
                <w:color w:val="000000" w:themeColor="text1"/>
                <w:sz w:val="20"/>
                <w:szCs w:val="20"/>
              </w:rPr>
              <w:t xml:space="preserve">Encourage and support adoption of bottom-up approaches within the Govt. through mechanisms that strengthen local level planning and enable stronger and effective linkages with higher levels of governance. </w:t>
            </w:r>
          </w:p>
          <w:p w14:paraId="5DABE5BD" w14:textId="77777777" w:rsidR="00A40E75" w:rsidRPr="000E3192" w:rsidRDefault="00A40E75" w:rsidP="00A40E75">
            <w:pPr>
              <w:suppressAutoHyphens/>
              <w:jc w:val="both"/>
              <w:rPr>
                <w:rFonts w:cs="Arial"/>
                <w:color w:val="002060"/>
                <w:szCs w:val="20"/>
              </w:rPr>
            </w:pPr>
          </w:p>
          <w:p w14:paraId="6FECFB0F" w14:textId="572C68FE" w:rsidR="00A40E75" w:rsidRPr="000E3192" w:rsidRDefault="00A40E75" w:rsidP="00A40E75">
            <w:pPr>
              <w:pStyle w:val="Bodytext7"/>
              <w:spacing w:after="0"/>
              <w:ind w:left="0"/>
              <w:jc w:val="left"/>
              <w:rPr>
                <w:rFonts w:eastAsiaTheme="minorHAnsi" w:cs="Arial"/>
                <w:b/>
                <w:color w:val="002060"/>
                <w:sz w:val="20"/>
                <w:szCs w:val="20"/>
              </w:rPr>
            </w:pPr>
            <w:r w:rsidRPr="000E3192">
              <w:rPr>
                <w:rFonts w:eastAsiaTheme="minorHAnsi" w:cs="Arial"/>
                <w:b/>
                <w:color w:val="002060"/>
                <w:sz w:val="20"/>
                <w:szCs w:val="20"/>
              </w:rPr>
              <w:t>Management responsibilities</w:t>
            </w:r>
          </w:p>
          <w:p w14:paraId="5D6B1F57" w14:textId="049184BD" w:rsidR="00A40E75" w:rsidRPr="000E3192" w:rsidRDefault="00A40E75" w:rsidP="00A40E75">
            <w:pPr>
              <w:pStyle w:val="ListParagraph"/>
              <w:numPr>
                <w:ilvl w:val="0"/>
                <w:numId w:val="18"/>
              </w:numPr>
              <w:rPr>
                <w:rFonts w:ascii="Arial" w:hAnsi="Arial" w:cs="Arial"/>
                <w:sz w:val="20"/>
                <w:szCs w:val="20"/>
              </w:rPr>
            </w:pPr>
            <w:r w:rsidRPr="000E3192">
              <w:rPr>
                <w:rFonts w:ascii="Arial" w:hAnsi="Arial" w:cs="Arial"/>
                <w:sz w:val="20"/>
                <w:szCs w:val="20"/>
              </w:rPr>
              <w:lastRenderedPageBreak/>
              <w:t xml:space="preserve">Provide line management and technical management oversight </w:t>
            </w:r>
            <w:r>
              <w:rPr>
                <w:rFonts w:ascii="Arial" w:hAnsi="Arial" w:cs="Arial"/>
                <w:sz w:val="20"/>
                <w:szCs w:val="20"/>
              </w:rPr>
              <w:t xml:space="preserve">(if needed) </w:t>
            </w:r>
            <w:r w:rsidRPr="000E3192">
              <w:rPr>
                <w:rFonts w:ascii="Arial" w:hAnsi="Arial" w:cs="Arial"/>
                <w:sz w:val="20"/>
                <w:szCs w:val="20"/>
              </w:rPr>
              <w:t>for the Procurement Advisor and Bio-medical Engineer to ensure high quality TA support on area of procurement of essential medicines and commodities. This will entail ensuring the technical priorities are responsive to sub-national priorities and providing strategic direction to this area to enable effective working and achievement of programme objectives.</w:t>
            </w:r>
          </w:p>
          <w:p w14:paraId="14FA84AC" w14:textId="25658B4D" w:rsidR="00A40E75" w:rsidRPr="000E3192" w:rsidRDefault="00A40E75" w:rsidP="00A40E75">
            <w:pPr>
              <w:pStyle w:val="ListParagraph"/>
              <w:numPr>
                <w:ilvl w:val="0"/>
                <w:numId w:val="18"/>
              </w:numPr>
              <w:jc w:val="both"/>
              <w:rPr>
                <w:rFonts w:ascii="Arial" w:hAnsi="Arial" w:cs="Arial"/>
                <w:color w:val="000000" w:themeColor="text1"/>
                <w:sz w:val="20"/>
                <w:szCs w:val="20"/>
              </w:rPr>
            </w:pPr>
            <w:r w:rsidRPr="000E3192">
              <w:rPr>
                <w:rFonts w:ascii="Arial" w:hAnsi="Arial" w:cs="Arial"/>
                <w:color w:val="000000" w:themeColor="text1"/>
                <w:sz w:val="20"/>
                <w:szCs w:val="20"/>
              </w:rPr>
              <w:t xml:space="preserve">Support the annual technical planning for the L&amp;G thematic area </w:t>
            </w:r>
            <w:r w:rsidRPr="000E3192">
              <w:rPr>
                <w:rFonts w:ascii="Arial" w:hAnsi="Arial" w:cs="Arial"/>
                <w:sz w:val="20"/>
                <w:szCs w:val="20"/>
              </w:rPr>
              <w:t>under the leadership of the L&amp;G Thematic Team Leader, and in collaboration with the Lead Provincial Coordinators.</w:t>
            </w:r>
          </w:p>
          <w:p w14:paraId="57CC9F25" w14:textId="75C8EBCB" w:rsidR="00A40E75" w:rsidRPr="000E3192" w:rsidRDefault="00A40E75" w:rsidP="00A40E75">
            <w:pPr>
              <w:pStyle w:val="ListParagraph"/>
              <w:numPr>
                <w:ilvl w:val="0"/>
                <w:numId w:val="18"/>
              </w:numPr>
              <w:jc w:val="both"/>
              <w:rPr>
                <w:rFonts w:ascii="Arial" w:hAnsi="Arial" w:cs="Arial"/>
                <w:color w:val="000000" w:themeColor="text1"/>
                <w:sz w:val="20"/>
                <w:szCs w:val="20"/>
              </w:rPr>
            </w:pPr>
            <w:r w:rsidRPr="000E3192">
              <w:rPr>
                <w:rFonts w:ascii="Arial" w:hAnsi="Arial" w:cs="Arial"/>
                <w:sz w:val="20"/>
                <w:szCs w:val="20"/>
              </w:rPr>
              <w:t xml:space="preserve">Lead on writing any technical outputs and deliverables as assigned and collaborate with the Planning Advisor/ Specialist and Governance Advisor/Specialist as required in a timely and proactive manner. </w:t>
            </w:r>
          </w:p>
          <w:p w14:paraId="5E97E476" w14:textId="77D79017" w:rsidR="00A40E75" w:rsidRPr="000E3192" w:rsidRDefault="00A40E75" w:rsidP="00A40E75">
            <w:pPr>
              <w:pStyle w:val="Bodytext7"/>
              <w:numPr>
                <w:ilvl w:val="0"/>
                <w:numId w:val="18"/>
              </w:numPr>
              <w:spacing w:after="0" w:line="276" w:lineRule="auto"/>
              <w:jc w:val="left"/>
              <w:rPr>
                <w:rFonts w:eastAsiaTheme="minorHAnsi" w:cs="Arial"/>
                <w:b/>
                <w:color w:val="00645C"/>
                <w:sz w:val="20"/>
                <w:szCs w:val="22"/>
              </w:rPr>
            </w:pPr>
            <w:r w:rsidRPr="000E3192">
              <w:rPr>
                <w:rFonts w:cs="Arial"/>
                <w:sz w:val="20"/>
                <w:szCs w:val="20"/>
              </w:rPr>
              <w:t>Identify, monitor and report any risks arising to the programme delivery of L&amp;G thematic area results; and under the leadership of the L&amp;G Thematic Team Lead contribute to managing and addressing risks.</w:t>
            </w:r>
          </w:p>
          <w:p w14:paraId="76A6CAA5" w14:textId="5B947163" w:rsidR="00A40E75" w:rsidRPr="000E3192" w:rsidRDefault="00A40E75" w:rsidP="00A40E75">
            <w:pPr>
              <w:ind w:left="360"/>
              <w:jc w:val="both"/>
              <w:rPr>
                <w:rFonts w:cs="Arial"/>
                <w:color w:val="000000" w:themeColor="text1"/>
                <w:szCs w:val="20"/>
              </w:rPr>
            </w:pPr>
          </w:p>
          <w:p w14:paraId="691DE16B" w14:textId="127CA6D2" w:rsidR="00A40E75" w:rsidRPr="000E3192" w:rsidRDefault="00A40E75" w:rsidP="00A40E75">
            <w:pPr>
              <w:rPr>
                <w:rFonts w:cs="Arial"/>
                <w:color w:val="002060"/>
                <w:szCs w:val="20"/>
              </w:rPr>
            </w:pPr>
            <w:r w:rsidRPr="000E3192">
              <w:rPr>
                <w:rFonts w:cs="Arial"/>
                <w:b/>
                <w:color w:val="002060"/>
                <w:szCs w:val="20"/>
              </w:rPr>
              <w:t>One-team approach, Collaborations and Relationships</w:t>
            </w:r>
          </w:p>
          <w:p w14:paraId="767EC1F0" w14:textId="0A3DA8C2" w:rsidR="00A40E75" w:rsidRPr="000E3192" w:rsidRDefault="00A40E75" w:rsidP="00A40E75">
            <w:pPr>
              <w:pStyle w:val="ListParagraph"/>
              <w:numPr>
                <w:ilvl w:val="0"/>
                <w:numId w:val="18"/>
              </w:numPr>
              <w:jc w:val="both"/>
              <w:rPr>
                <w:rFonts w:ascii="Arial" w:hAnsi="Arial" w:cs="Arial"/>
                <w:color w:val="000000" w:themeColor="text1"/>
                <w:sz w:val="20"/>
                <w:szCs w:val="20"/>
              </w:rPr>
            </w:pPr>
            <w:r w:rsidRPr="000E3192">
              <w:rPr>
                <w:rFonts w:ascii="Arial" w:hAnsi="Arial" w:cs="Arial"/>
                <w:color w:val="000000" w:themeColor="text1"/>
                <w:sz w:val="20"/>
                <w:szCs w:val="20"/>
              </w:rPr>
              <w:t>The Pharmacist will adopt an “one team approach” to delivery of the programme, and consistently work towards achieve the cross cutting objectives of building the resilience and improving the equity and quality of the Nepal health system while Leaving No-One Behind.</w:t>
            </w:r>
          </w:p>
          <w:p w14:paraId="504E6EF2" w14:textId="4521D6A9" w:rsidR="00A40E75" w:rsidRPr="000E3192" w:rsidRDefault="00A40E75" w:rsidP="00A40E75">
            <w:pPr>
              <w:pStyle w:val="ListParagraph"/>
              <w:numPr>
                <w:ilvl w:val="0"/>
                <w:numId w:val="18"/>
              </w:numPr>
              <w:jc w:val="both"/>
              <w:rPr>
                <w:rFonts w:ascii="Arial" w:hAnsi="Arial" w:cs="Arial"/>
                <w:color w:val="000000" w:themeColor="text1"/>
                <w:sz w:val="20"/>
                <w:szCs w:val="20"/>
              </w:rPr>
            </w:pPr>
            <w:r w:rsidRPr="000E3192">
              <w:rPr>
                <w:rFonts w:ascii="Arial" w:hAnsi="Arial" w:cs="Arial"/>
                <w:color w:val="000000" w:themeColor="text1"/>
                <w:sz w:val="20"/>
                <w:szCs w:val="20"/>
              </w:rPr>
              <w:t xml:space="preserve">Work collaboratively with all NHSSP members across all thematic areas at federal and sub-national level to ensure consistency and quality of the L&amp;G thematic area’s delivery.  </w:t>
            </w:r>
          </w:p>
          <w:p w14:paraId="4BE5FFEC" w14:textId="5ABA4C53" w:rsidR="00A40E75" w:rsidRPr="000E3192" w:rsidRDefault="00A40E75" w:rsidP="00A40E75">
            <w:pPr>
              <w:pStyle w:val="ListParagraph"/>
              <w:numPr>
                <w:ilvl w:val="0"/>
                <w:numId w:val="18"/>
              </w:numPr>
              <w:jc w:val="both"/>
              <w:rPr>
                <w:rFonts w:ascii="Arial" w:hAnsi="Arial" w:cs="Arial"/>
                <w:color w:val="000000" w:themeColor="text1"/>
                <w:sz w:val="20"/>
                <w:szCs w:val="20"/>
              </w:rPr>
            </w:pPr>
            <w:r w:rsidRPr="000E3192">
              <w:rPr>
                <w:rFonts w:ascii="Arial" w:hAnsi="Arial" w:cs="Arial"/>
                <w:color w:val="000000" w:themeColor="text1"/>
                <w:sz w:val="20"/>
                <w:szCs w:val="20"/>
              </w:rPr>
              <w:t>Work</w:t>
            </w:r>
          </w:p>
          <w:p w14:paraId="0CBCBF43" w14:textId="1D691C46" w:rsidR="00A40E75" w:rsidRPr="000E3192" w:rsidRDefault="00A40E75" w:rsidP="00A40E75">
            <w:pPr>
              <w:pStyle w:val="ListParagraph"/>
              <w:numPr>
                <w:ilvl w:val="0"/>
                <w:numId w:val="18"/>
              </w:numPr>
              <w:rPr>
                <w:rFonts w:ascii="Arial" w:hAnsi="Arial" w:cs="Arial"/>
                <w:color w:val="002060"/>
                <w:szCs w:val="20"/>
              </w:rPr>
            </w:pPr>
            <w:r w:rsidRPr="000E3192">
              <w:rPr>
                <w:rFonts w:ascii="Arial" w:hAnsi="Arial" w:cs="Arial"/>
                <w:color w:val="000000" w:themeColor="text1"/>
                <w:sz w:val="20"/>
                <w:szCs w:val="20"/>
              </w:rPr>
              <w:t xml:space="preserve">Build and manage positive and productive relationships with </w:t>
            </w:r>
            <w:proofErr w:type="spellStart"/>
            <w:r w:rsidRPr="000E3192">
              <w:rPr>
                <w:rFonts w:ascii="Arial" w:hAnsi="Arial" w:cs="Arial"/>
                <w:color w:val="000000" w:themeColor="text1"/>
                <w:sz w:val="20"/>
                <w:szCs w:val="20"/>
              </w:rPr>
              <w:t>MoHP</w:t>
            </w:r>
            <w:proofErr w:type="spellEnd"/>
            <w:r w:rsidRPr="000E3192">
              <w:rPr>
                <w:rFonts w:ascii="Arial" w:hAnsi="Arial" w:cs="Arial"/>
                <w:color w:val="000000" w:themeColor="text1"/>
                <w:sz w:val="20"/>
                <w:szCs w:val="20"/>
              </w:rPr>
              <w:t>/</w:t>
            </w:r>
            <w:proofErr w:type="spellStart"/>
            <w:r w:rsidRPr="000E3192">
              <w:rPr>
                <w:rFonts w:ascii="Arial" w:hAnsi="Arial" w:cs="Arial"/>
                <w:color w:val="000000" w:themeColor="text1"/>
                <w:sz w:val="20"/>
                <w:szCs w:val="20"/>
              </w:rPr>
              <w:t>DoHS</w:t>
            </w:r>
            <w:proofErr w:type="spellEnd"/>
            <w:r w:rsidRPr="000E3192">
              <w:rPr>
                <w:rFonts w:ascii="Arial" w:hAnsi="Arial" w:cs="Arial"/>
                <w:color w:val="000000" w:themeColor="text1"/>
                <w:sz w:val="20"/>
                <w:szCs w:val="20"/>
              </w:rPr>
              <w:t xml:space="preserve"> an on-going basis, and apply supreme diplomacy, influencing and consensus-building skills to build alliances with a range of stakeholders, external development partners and networks. </w:t>
            </w:r>
          </w:p>
        </w:tc>
      </w:tr>
      <w:tr w:rsidR="00A40E75" w:rsidRPr="000E3192" w14:paraId="1B427419" w14:textId="77777777" w:rsidTr="003311A5">
        <w:tc>
          <w:tcPr>
            <w:tcW w:w="5000" w:type="pct"/>
            <w:gridSpan w:val="2"/>
            <w:tcMar>
              <w:top w:w="108" w:type="dxa"/>
              <w:bottom w:w="108" w:type="dxa"/>
            </w:tcMar>
          </w:tcPr>
          <w:p w14:paraId="2C10CAD7" w14:textId="4DA8B9E7" w:rsidR="00A40E75" w:rsidRPr="000E3192" w:rsidRDefault="00A40E75" w:rsidP="00A40E75">
            <w:pPr>
              <w:pStyle w:val="Bodytext7"/>
              <w:spacing w:after="0"/>
              <w:ind w:left="0"/>
              <w:rPr>
                <w:rFonts w:cs="Arial"/>
                <w:color w:val="002060"/>
                <w:sz w:val="20"/>
                <w:szCs w:val="20"/>
              </w:rPr>
            </w:pPr>
            <w:r w:rsidRPr="000E3192">
              <w:rPr>
                <w:rFonts w:cs="Arial"/>
                <w:color w:val="000000" w:themeColor="text1"/>
                <w:sz w:val="20"/>
                <w:szCs w:val="20"/>
              </w:rPr>
              <w:lastRenderedPageBreak/>
              <w:t>Note: This job description reflects the present requirements of the post.  As duties and responsibilities change and develop, based on contextual changes, the job description will be reviewed and be subject to amendment in consultation with the job holder.</w:t>
            </w:r>
          </w:p>
        </w:tc>
      </w:tr>
    </w:tbl>
    <w:p w14:paraId="5F6C9C53" w14:textId="77777777" w:rsidR="009F4A32" w:rsidRPr="000E3192" w:rsidRDefault="009F4A32" w:rsidP="003311A5">
      <w:pPr>
        <w:rPr>
          <w:rFonts w:cs="Arial"/>
          <w:szCs w:val="20"/>
        </w:rPr>
      </w:pPr>
    </w:p>
    <w:tbl>
      <w:tblPr>
        <w:tblStyle w:val="TableGrid"/>
        <w:tblW w:w="5000" w:type="pct"/>
        <w:tblLook w:val="04A0" w:firstRow="1" w:lastRow="0" w:firstColumn="1" w:lastColumn="0" w:noHBand="0" w:noVBand="1"/>
      </w:tblPr>
      <w:tblGrid>
        <w:gridCol w:w="5228"/>
        <w:gridCol w:w="5228"/>
      </w:tblGrid>
      <w:tr w:rsidR="00F3756B" w:rsidRPr="000E3192" w14:paraId="52BD0401" w14:textId="77777777" w:rsidTr="003311A5">
        <w:tc>
          <w:tcPr>
            <w:tcW w:w="2500" w:type="pct"/>
            <w:tcMar>
              <w:top w:w="108" w:type="dxa"/>
              <w:bottom w:w="108" w:type="dxa"/>
            </w:tcMar>
          </w:tcPr>
          <w:p w14:paraId="64B613A9" w14:textId="77777777" w:rsidR="003311A5" w:rsidRPr="000E3192" w:rsidRDefault="003311A5" w:rsidP="003311A5">
            <w:pPr>
              <w:rPr>
                <w:rFonts w:cs="Arial"/>
                <w:color w:val="002060"/>
                <w:szCs w:val="20"/>
              </w:rPr>
            </w:pPr>
            <w:r w:rsidRPr="000E3192">
              <w:rPr>
                <w:rFonts w:cs="Arial"/>
                <w:b/>
                <w:color w:val="002060"/>
                <w:szCs w:val="20"/>
              </w:rPr>
              <w:t xml:space="preserve">Signed by: </w:t>
            </w:r>
          </w:p>
        </w:tc>
        <w:tc>
          <w:tcPr>
            <w:tcW w:w="2500" w:type="pct"/>
            <w:tcMar>
              <w:top w:w="108" w:type="dxa"/>
              <w:bottom w:w="108" w:type="dxa"/>
            </w:tcMar>
          </w:tcPr>
          <w:p w14:paraId="381D2FBC" w14:textId="77777777" w:rsidR="003311A5" w:rsidRPr="000E3192" w:rsidRDefault="003311A5" w:rsidP="003311A5">
            <w:pPr>
              <w:rPr>
                <w:rFonts w:cs="Arial"/>
                <w:b/>
                <w:color w:val="002060"/>
                <w:szCs w:val="20"/>
              </w:rPr>
            </w:pPr>
            <w:r w:rsidRPr="000E3192">
              <w:rPr>
                <w:rFonts w:cs="Arial"/>
                <w:b/>
                <w:color w:val="002060"/>
                <w:szCs w:val="20"/>
              </w:rPr>
              <w:t xml:space="preserve">Date: </w:t>
            </w:r>
          </w:p>
        </w:tc>
      </w:tr>
    </w:tbl>
    <w:p w14:paraId="384F89DB" w14:textId="77777777" w:rsidR="00FB2FA5" w:rsidRPr="000E3192" w:rsidRDefault="00FB2FA5" w:rsidP="00F7149C">
      <w:pPr>
        <w:rPr>
          <w:rFonts w:cs="Arial"/>
          <w:szCs w:val="20"/>
        </w:rPr>
      </w:pPr>
    </w:p>
    <w:tbl>
      <w:tblPr>
        <w:tblStyle w:val="TableGrid"/>
        <w:tblW w:w="5000" w:type="pct"/>
        <w:tblLook w:val="04A0" w:firstRow="1" w:lastRow="0" w:firstColumn="1" w:lastColumn="0" w:noHBand="0" w:noVBand="1"/>
      </w:tblPr>
      <w:tblGrid>
        <w:gridCol w:w="7458"/>
        <w:gridCol w:w="1499"/>
        <w:gridCol w:w="1499"/>
      </w:tblGrid>
      <w:tr w:rsidR="00F3756B" w:rsidRPr="000E3192" w14:paraId="0D063ACB" w14:textId="77777777" w:rsidTr="002E75D4">
        <w:tc>
          <w:tcPr>
            <w:tcW w:w="3566" w:type="pct"/>
            <w:tcMar>
              <w:top w:w="108" w:type="dxa"/>
              <w:bottom w:w="108" w:type="dxa"/>
            </w:tcMar>
          </w:tcPr>
          <w:p w14:paraId="5E687B30" w14:textId="77777777" w:rsidR="00FB2FA5" w:rsidRPr="000E3192" w:rsidRDefault="00FB2FA5" w:rsidP="005B51C1">
            <w:pPr>
              <w:spacing w:line="276" w:lineRule="auto"/>
              <w:rPr>
                <w:rFonts w:cs="Arial"/>
                <w:color w:val="002060"/>
                <w:szCs w:val="20"/>
              </w:rPr>
            </w:pPr>
            <w:r w:rsidRPr="000E3192">
              <w:rPr>
                <w:rFonts w:cs="Arial"/>
                <w:b/>
                <w:color w:val="002060"/>
                <w:szCs w:val="20"/>
              </w:rPr>
              <w:t>Criteria</w:t>
            </w:r>
          </w:p>
        </w:tc>
        <w:tc>
          <w:tcPr>
            <w:tcW w:w="717" w:type="pct"/>
            <w:tcBorders>
              <w:bottom w:val="single" w:sz="4" w:space="0" w:color="auto"/>
            </w:tcBorders>
            <w:tcMar>
              <w:top w:w="108" w:type="dxa"/>
              <w:bottom w:w="108" w:type="dxa"/>
            </w:tcMar>
          </w:tcPr>
          <w:p w14:paraId="694AB81A" w14:textId="77777777" w:rsidR="00FB2FA5" w:rsidRPr="000E3192" w:rsidRDefault="00FB2FA5" w:rsidP="005B51C1">
            <w:pPr>
              <w:spacing w:line="276" w:lineRule="auto"/>
              <w:jc w:val="center"/>
              <w:rPr>
                <w:rFonts w:cs="Arial"/>
                <w:b/>
                <w:color w:val="002060"/>
                <w:szCs w:val="20"/>
              </w:rPr>
            </w:pPr>
            <w:r w:rsidRPr="000E3192">
              <w:rPr>
                <w:rFonts w:cs="Arial"/>
                <w:b/>
                <w:color w:val="002060"/>
                <w:szCs w:val="20"/>
              </w:rPr>
              <w:t>Essential</w:t>
            </w:r>
          </w:p>
        </w:tc>
        <w:tc>
          <w:tcPr>
            <w:tcW w:w="717" w:type="pct"/>
            <w:tcBorders>
              <w:bottom w:val="single" w:sz="4" w:space="0" w:color="auto"/>
            </w:tcBorders>
            <w:tcMar>
              <w:top w:w="108" w:type="dxa"/>
              <w:bottom w:w="108" w:type="dxa"/>
            </w:tcMar>
          </w:tcPr>
          <w:p w14:paraId="7285AB36" w14:textId="77777777" w:rsidR="00FB2FA5" w:rsidRPr="000E3192" w:rsidRDefault="00FB2FA5" w:rsidP="005B51C1">
            <w:pPr>
              <w:spacing w:line="276" w:lineRule="auto"/>
              <w:jc w:val="center"/>
              <w:rPr>
                <w:rFonts w:cs="Arial"/>
                <w:b/>
                <w:color w:val="002060"/>
                <w:szCs w:val="20"/>
              </w:rPr>
            </w:pPr>
            <w:r w:rsidRPr="000E3192">
              <w:rPr>
                <w:rFonts w:cs="Arial"/>
                <w:b/>
                <w:color w:val="002060"/>
                <w:szCs w:val="20"/>
              </w:rPr>
              <w:t>Desirable</w:t>
            </w:r>
          </w:p>
        </w:tc>
      </w:tr>
      <w:tr w:rsidR="00F3756B" w:rsidRPr="000E3192" w14:paraId="150224C7" w14:textId="77777777" w:rsidTr="002E75D4">
        <w:tc>
          <w:tcPr>
            <w:tcW w:w="3566" w:type="pct"/>
            <w:tcBorders>
              <w:right w:val="nil"/>
            </w:tcBorders>
            <w:tcMar>
              <w:top w:w="108" w:type="dxa"/>
              <w:bottom w:w="108" w:type="dxa"/>
            </w:tcMar>
          </w:tcPr>
          <w:p w14:paraId="430A411B" w14:textId="77777777" w:rsidR="00FB2FA5" w:rsidRPr="000E3192" w:rsidRDefault="00FB2FA5" w:rsidP="005B51C1">
            <w:pPr>
              <w:spacing w:line="276" w:lineRule="auto"/>
              <w:rPr>
                <w:rFonts w:cs="Arial"/>
                <w:b/>
                <w:color w:val="002060"/>
                <w:szCs w:val="20"/>
              </w:rPr>
            </w:pPr>
            <w:r w:rsidRPr="000E3192">
              <w:rPr>
                <w:rFonts w:cs="Arial"/>
                <w:b/>
                <w:color w:val="002060"/>
                <w:szCs w:val="20"/>
              </w:rPr>
              <w:t>Qualifications</w:t>
            </w:r>
          </w:p>
        </w:tc>
        <w:tc>
          <w:tcPr>
            <w:tcW w:w="717" w:type="pct"/>
            <w:tcBorders>
              <w:left w:val="nil"/>
              <w:right w:val="nil"/>
            </w:tcBorders>
            <w:tcMar>
              <w:top w:w="108" w:type="dxa"/>
              <w:bottom w:w="108" w:type="dxa"/>
            </w:tcMar>
          </w:tcPr>
          <w:p w14:paraId="7B708DF5" w14:textId="77777777" w:rsidR="00FB2FA5" w:rsidRPr="000E3192" w:rsidRDefault="00FB2FA5" w:rsidP="005B51C1">
            <w:pPr>
              <w:spacing w:line="276" w:lineRule="auto"/>
              <w:jc w:val="center"/>
              <w:rPr>
                <w:rFonts w:cs="Arial"/>
                <w:b/>
                <w:color w:val="002060"/>
                <w:szCs w:val="20"/>
              </w:rPr>
            </w:pPr>
          </w:p>
        </w:tc>
        <w:tc>
          <w:tcPr>
            <w:tcW w:w="717" w:type="pct"/>
            <w:tcBorders>
              <w:left w:val="nil"/>
            </w:tcBorders>
            <w:tcMar>
              <w:top w:w="108" w:type="dxa"/>
              <w:bottom w:w="108" w:type="dxa"/>
            </w:tcMar>
          </w:tcPr>
          <w:p w14:paraId="2802F873" w14:textId="77777777" w:rsidR="00FB2FA5" w:rsidRPr="000E3192" w:rsidRDefault="00FB2FA5" w:rsidP="005B51C1">
            <w:pPr>
              <w:spacing w:line="276" w:lineRule="auto"/>
              <w:jc w:val="center"/>
              <w:rPr>
                <w:rFonts w:cs="Arial"/>
                <w:b/>
                <w:color w:val="002060"/>
                <w:szCs w:val="20"/>
              </w:rPr>
            </w:pPr>
          </w:p>
        </w:tc>
      </w:tr>
      <w:tr w:rsidR="00FB2FA5" w:rsidRPr="000E3192" w14:paraId="5DA22A65" w14:textId="77777777" w:rsidTr="00A3678B">
        <w:tc>
          <w:tcPr>
            <w:tcW w:w="3566" w:type="pct"/>
            <w:tcBorders>
              <w:bottom w:val="single" w:sz="4" w:space="0" w:color="auto"/>
            </w:tcBorders>
            <w:tcMar>
              <w:top w:w="108" w:type="dxa"/>
              <w:bottom w:w="108" w:type="dxa"/>
            </w:tcMar>
          </w:tcPr>
          <w:p w14:paraId="3AA534D5" w14:textId="7A7FD43E" w:rsidR="00FB2FA5" w:rsidRPr="000E3192" w:rsidRDefault="00415A11" w:rsidP="00656E67">
            <w:pPr>
              <w:spacing w:line="276" w:lineRule="auto"/>
              <w:rPr>
                <w:rFonts w:cs="Arial"/>
                <w:szCs w:val="20"/>
              </w:rPr>
            </w:pPr>
            <w:r w:rsidRPr="00E3061C">
              <w:rPr>
                <w:rFonts w:cs="Arial"/>
              </w:rPr>
              <w:t>Post</w:t>
            </w:r>
            <w:r w:rsidR="00A72E5B">
              <w:rPr>
                <w:rFonts w:cs="Arial"/>
              </w:rPr>
              <w:t>-</w:t>
            </w:r>
            <w:r w:rsidRPr="005B51C1">
              <w:rPr>
                <w:rFonts w:cs="Arial"/>
              </w:rPr>
              <w:t>Graduate (Masters' o</w:t>
            </w:r>
            <w:r w:rsidRPr="00656E67">
              <w:rPr>
                <w:rFonts w:cs="Arial"/>
              </w:rPr>
              <w:t xml:space="preserve">r Professional) degree </w:t>
            </w:r>
            <w:r w:rsidR="00C12B0A">
              <w:rPr>
                <w:rFonts w:cs="Arial"/>
              </w:rPr>
              <w:t xml:space="preserve">in </w:t>
            </w:r>
            <w:r w:rsidRPr="00E3061C">
              <w:rPr>
                <w:rFonts w:cs="Arial"/>
              </w:rPr>
              <w:t>Pharmacy</w:t>
            </w:r>
          </w:p>
        </w:tc>
        <w:tc>
          <w:tcPr>
            <w:tcW w:w="717" w:type="pct"/>
            <w:tcBorders>
              <w:bottom w:val="single" w:sz="4" w:space="0" w:color="auto"/>
            </w:tcBorders>
            <w:tcMar>
              <w:top w:w="108" w:type="dxa"/>
              <w:bottom w:w="108" w:type="dxa"/>
            </w:tcMar>
          </w:tcPr>
          <w:p w14:paraId="6EE897C2" w14:textId="77777777" w:rsidR="00FB2FA5" w:rsidRPr="000E3192" w:rsidRDefault="00FB2FA5" w:rsidP="00656E67">
            <w:pPr>
              <w:spacing w:line="276" w:lineRule="auto"/>
              <w:jc w:val="center"/>
              <w:rPr>
                <w:rFonts w:cs="Arial"/>
                <w:szCs w:val="20"/>
              </w:rPr>
            </w:pPr>
            <w:r w:rsidRPr="000E3192">
              <w:rPr>
                <w:rFonts w:cs="Arial"/>
                <w:szCs w:val="20"/>
              </w:rPr>
              <w:sym w:font="Wingdings" w:char="F0FC"/>
            </w:r>
          </w:p>
        </w:tc>
        <w:tc>
          <w:tcPr>
            <w:tcW w:w="717" w:type="pct"/>
            <w:tcMar>
              <w:top w:w="108" w:type="dxa"/>
              <w:bottom w:w="108" w:type="dxa"/>
            </w:tcMar>
          </w:tcPr>
          <w:p w14:paraId="2A216165" w14:textId="77777777" w:rsidR="00FB2FA5" w:rsidRPr="000E3192" w:rsidRDefault="00FB2FA5" w:rsidP="00656E67">
            <w:pPr>
              <w:spacing w:line="276" w:lineRule="auto"/>
              <w:rPr>
                <w:rFonts w:cs="Arial"/>
                <w:szCs w:val="20"/>
              </w:rPr>
            </w:pPr>
          </w:p>
        </w:tc>
      </w:tr>
      <w:tr w:rsidR="00F3756B" w:rsidRPr="000E3192" w14:paraId="51010E31" w14:textId="77777777" w:rsidTr="00A3678B">
        <w:tc>
          <w:tcPr>
            <w:tcW w:w="3566" w:type="pct"/>
            <w:tcBorders>
              <w:bottom w:val="nil"/>
              <w:right w:val="single" w:sz="4" w:space="0" w:color="auto"/>
            </w:tcBorders>
            <w:tcMar>
              <w:top w:w="108" w:type="dxa"/>
              <w:bottom w:w="108" w:type="dxa"/>
            </w:tcMar>
          </w:tcPr>
          <w:p w14:paraId="31414234" w14:textId="77777777" w:rsidR="00FB2FA5" w:rsidRPr="000E3192" w:rsidRDefault="00FB2FA5" w:rsidP="00656E67">
            <w:pPr>
              <w:spacing w:line="276" w:lineRule="auto"/>
              <w:contextualSpacing/>
              <w:rPr>
                <w:rFonts w:cs="Arial"/>
                <w:color w:val="002060"/>
                <w:szCs w:val="20"/>
              </w:rPr>
            </w:pPr>
            <w:r w:rsidRPr="000E3192">
              <w:rPr>
                <w:rFonts w:cs="Arial"/>
                <w:b/>
                <w:color w:val="002060"/>
                <w:szCs w:val="20"/>
              </w:rPr>
              <w:t>Experience</w:t>
            </w:r>
          </w:p>
        </w:tc>
        <w:tc>
          <w:tcPr>
            <w:tcW w:w="717" w:type="pct"/>
            <w:tcBorders>
              <w:left w:val="single" w:sz="4" w:space="0" w:color="auto"/>
              <w:bottom w:val="nil"/>
              <w:right w:val="single" w:sz="4" w:space="0" w:color="auto"/>
            </w:tcBorders>
            <w:tcMar>
              <w:top w:w="108" w:type="dxa"/>
              <w:bottom w:w="108" w:type="dxa"/>
            </w:tcMar>
          </w:tcPr>
          <w:p w14:paraId="2F9592BE" w14:textId="77777777" w:rsidR="00FB2FA5" w:rsidRPr="000E3192" w:rsidRDefault="00FB2FA5" w:rsidP="00656E67">
            <w:pPr>
              <w:spacing w:line="276" w:lineRule="auto"/>
              <w:jc w:val="center"/>
              <w:rPr>
                <w:rFonts w:cs="Arial"/>
                <w:color w:val="002060"/>
                <w:szCs w:val="20"/>
              </w:rPr>
            </w:pPr>
          </w:p>
        </w:tc>
        <w:tc>
          <w:tcPr>
            <w:tcW w:w="717" w:type="pct"/>
            <w:tcBorders>
              <w:left w:val="single" w:sz="4" w:space="0" w:color="auto"/>
              <w:bottom w:val="single" w:sz="4" w:space="0" w:color="auto"/>
            </w:tcBorders>
            <w:tcMar>
              <w:top w:w="108" w:type="dxa"/>
              <w:bottom w:w="108" w:type="dxa"/>
            </w:tcMar>
          </w:tcPr>
          <w:p w14:paraId="182B524D" w14:textId="77777777" w:rsidR="00FB2FA5" w:rsidRPr="000E3192" w:rsidRDefault="00FB2FA5" w:rsidP="00656E67">
            <w:pPr>
              <w:spacing w:line="276" w:lineRule="auto"/>
              <w:jc w:val="center"/>
              <w:rPr>
                <w:rFonts w:cs="Arial"/>
                <w:color w:val="002060"/>
                <w:szCs w:val="20"/>
              </w:rPr>
            </w:pPr>
          </w:p>
        </w:tc>
      </w:tr>
      <w:tr w:rsidR="00FB2FA5" w:rsidRPr="000E3192" w14:paraId="2435DB57" w14:textId="77777777" w:rsidTr="00A3678B">
        <w:tc>
          <w:tcPr>
            <w:tcW w:w="3566" w:type="pct"/>
            <w:tcBorders>
              <w:top w:val="nil"/>
              <w:left w:val="single" w:sz="4" w:space="0" w:color="auto"/>
              <w:bottom w:val="nil"/>
              <w:right w:val="single" w:sz="4" w:space="0" w:color="auto"/>
            </w:tcBorders>
            <w:tcMar>
              <w:top w:w="108" w:type="dxa"/>
              <w:bottom w:w="108" w:type="dxa"/>
            </w:tcMar>
          </w:tcPr>
          <w:p w14:paraId="5D925699" w14:textId="3AE0CF0C" w:rsidR="00FC4356" w:rsidRPr="00656E67" w:rsidRDefault="00415A11" w:rsidP="00656E67">
            <w:pPr>
              <w:spacing w:line="276" w:lineRule="auto"/>
              <w:jc w:val="both"/>
              <w:rPr>
                <w:rFonts w:cs="Arial"/>
              </w:rPr>
            </w:pPr>
            <w:r w:rsidRPr="00E3061C">
              <w:rPr>
                <w:rFonts w:cs="Arial"/>
              </w:rPr>
              <w:t xml:space="preserve">Minimum </w:t>
            </w:r>
            <w:r w:rsidR="003524AC" w:rsidRPr="00C12B0A">
              <w:rPr>
                <w:rFonts w:cs="Arial"/>
              </w:rPr>
              <w:t xml:space="preserve">8 - </w:t>
            </w:r>
            <w:r w:rsidR="009C60E6" w:rsidRPr="00C12B0A">
              <w:rPr>
                <w:rFonts w:cs="Arial"/>
              </w:rPr>
              <w:t xml:space="preserve">10 </w:t>
            </w:r>
            <w:proofErr w:type="gramStart"/>
            <w:r w:rsidRPr="00C12B0A">
              <w:rPr>
                <w:rFonts w:cs="Arial"/>
              </w:rPr>
              <w:t>years</w:t>
            </w:r>
            <w:proofErr w:type="gramEnd"/>
            <w:r w:rsidRPr="00C12B0A">
              <w:rPr>
                <w:rFonts w:cs="Arial"/>
              </w:rPr>
              <w:t xml:space="preserve"> professional experience in</w:t>
            </w:r>
            <w:r w:rsidR="00E9619E">
              <w:rPr>
                <w:rFonts w:cs="Arial"/>
              </w:rPr>
              <w:t xml:space="preserve"> procurement issues with a special focus on</w:t>
            </w:r>
            <w:r w:rsidRPr="00E3061C">
              <w:rPr>
                <w:rFonts w:cs="Arial"/>
              </w:rPr>
              <w:t xml:space="preserve"> </w:t>
            </w:r>
            <w:r w:rsidR="00E9619E">
              <w:rPr>
                <w:rFonts w:cs="Arial"/>
              </w:rPr>
              <w:t>health</w:t>
            </w:r>
            <w:r w:rsidR="00E86641">
              <w:rPr>
                <w:rFonts w:cs="Arial"/>
              </w:rPr>
              <w:t xml:space="preserve"> products</w:t>
            </w:r>
            <w:r w:rsidR="00E9619E">
              <w:rPr>
                <w:rFonts w:cs="Arial"/>
              </w:rPr>
              <w:t xml:space="preserve"> and </w:t>
            </w:r>
            <w:r w:rsidRPr="00E3061C">
              <w:rPr>
                <w:rFonts w:cs="Arial"/>
              </w:rPr>
              <w:t>pharmaceutical</w:t>
            </w:r>
            <w:r w:rsidR="00E9619E">
              <w:rPr>
                <w:rFonts w:cs="Arial"/>
              </w:rPr>
              <w:t>s</w:t>
            </w:r>
            <w:r w:rsidRPr="00656E67">
              <w:rPr>
                <w:rFonts w:cs="Arial"/>
              </w:rPr>
              <w:t xml:space="preserve">. </w:t>
            </w:r>
          </w:p>
        </w:tc>
        <w:tc>
          <w:tcPr>
            <w:tcW w:w="717" w:type="pct"/>
            <w:tcBorders>
              <w:top w:val="nil"/>
              <w:left w:val="single" w:sz="4" w:space="0" w:color="auto"/>
              <w:bottom w:val="nil"/>
              <w:right w:val="single" w:sz="4" w:space="0" w:color="auto"/>
            </w:tcBorders>
            <w:tcMar>
              <w:top w:w="108" w:type="dxa"/>
              <w:bottom w:w="108" w:type="dxa"/>
            </w:tcMar>
          </w:tcPr>
          <w:p w14:paraId="421F1993" w14:textId="77777777" w:rsidR="00B16597" w:rsidRPr="000E3192" w:rsidRDefault="00CC69AE" w:rsidP="00656E67">
            <w:pPr>
              <w:spacing w:line="276" w:lineRule="auto"/>
              <w:jc w:val="center"/>
              <w:rPr>
                <w:rFonts w:cs="Arial"/>
                <w:szCs w:val="20"/>
              </w:rPr>
            </w:pPr>
            <w:r w:rsidRPr="000E3192">
              <w:rPr>
                <w:rFonts w:cs="Arial"/>
                <w:szCs w:val="20"/>
              </w:rPr>
              <w:sym w:font="Wingdings" w:char="F0FC"/>
            </w:r>
          </w:p>
          <w:p w14:paraId="716BDD63" w14:textId="1B5E19BB" w:rsidR="00415A11" w:rsidRPr="000E3192" w:rsidRDefault="00415A11" w:rsidP="00656E67">
            <w:pPr>
              <w:spacing w:line="276" w:lineRule="auto"/>
              <w:jc w:val="center"/>
              <w:rPr>
                <w:rFonts w:cs="Arial"/>
                <w:szCs w:val="20"/>
              </w:rPr>
            </w:pPr>
          </w:p>
        </w:tc>
        <w:tc>
          <w:tcPr>
            <w:tcW w:w="717" w:type="pct"/>
            <w:tcBorders>
              <w:left w:val="single" w:sz="4" w:space="0" w:color="auto"/>
              <w:bottom w:val="single" w:sz="4" w:space="0" w:color="auto"/>
            </w:tcBorders>
            <w:tcMar>
              <w:top w:w="108" w:type="dxa"/>
              <w:bottom w:w="108" w:type="dxa"/>
            </w:tcMar>
          </w:tcPr>
          <w:p w14:paraId="52190085" w14:textId="77777777" w:rsidR="00FB2FA5" w:rsidRPr="000E3192" w:rsidRDefault="00FB2FA5" w:rsidP="00656E67">
            <w:pPr>
              <w:spacing w:line="276" w:lineRule="auto"/>
              <w:jc w:val="center"/>
              <w:rPr>
                <w:rFonts w:cs="Arial"/>
                <w:szCs w:val="20"/>
              </w:rPr>
            </w:pPr>
          </w:p>
        </w:tc>
      </w:tr>
      <w:tr w:rsidR="00CC69AE" w:rsidRPr="000E3192" w14:paraId="65B07CB7" w14:textId="77777777" w:rsidTr="00A3678B">
        <w:tc>
          <w:tcPr>
            <w:tcW w:w="3566" w:type="pct"/>
            <w:tcBorders>
              <w:top w:val="nil"/>
              <w:left w:val="single" w:sz="4" w:space="0" w:color="auto"/>
              <w:bottom w:val="nil"/>
              <w:right w:val="single" w:sz="4" w:space="0" w:color="auto"/>
            </w:tcBorders>
            <w:tcMar>
              <w:top w:w="108" w:type="dxa"/>
              <w:bottom w:w="108" w:type="dxa"/>
            </w:tcMar>
          </w:tcPr>
          <w:p w14:paraId="7A752F1F" w14:textId="1BF3D39D" w:rsidR="00CC69AE" w:rsidRPr="00C12B0A" w:rsidRDefault="00833B5D" w:rsidP="00656E67">
            <w:pPr>
              <w:spacing w:line="276" w:lineRule="auto"/>
              <w:jc w:val="both"/>
              <w:rPr>
                <w:rFonts w:cs="Arial"/>
              </w:rPr>
            </w:pPr>
            <w:r w:rsidRPr="00E3061C">
              <w:rPr>
                <w:rFonts w:cs="Arial"/>
              </w:rPr>
              <w:t xml:space="preserve">Specific experience in the policy development, </w:t>
            </w:r>
            <w:r w:rsidR="00E35618" w:rsidRPr="00E35618">
              <w:rPr>
                <w:rFonts w:cs="Arial"/>
              </w:rPr>
              <w:t>procurement, project management</w:t>
            </w:r>
            <w:r w:rsidR="00E35618">
              <w:rPr>
                <w:rFonts w:cs="Arial"/>
              </w:rPr>
              <w:t xml:space="preserve"> </w:t>
            </w:r>
            <w:r w:rsidR="00656E67">
              <w:rPr>
                <w:rFonts w:cs="Arial"/>
              </w:rPr>
              <w:t xml:space="preserve">of  </w:t>
            </w:r>
            <w:r w:rsidR="00E35618">
              <w:rPr>
                <w:rFonts w:cs="Arial"/>
              </w:rPr>
              <w:t xml:space="preserve">health related products (including </w:t>
            </w:r>
            <w:r w:rsidR="00656E67" w:rsidRPr="00656E67">
              <w:rPr>
                <w:rFonts w:cs="Arial"/>
              </w:rPr>
              <w:t xml:space="preserve">preparing </w:t>
            </w:r>
            <w:r w:rsidR="00656E67">
              <w:rPr>
                <w:rFonts w:cs="Arial"/>
              </w:rPr>
              <w:t xml:space="preserve">technical </w:t>
            </w:r>
            <w:r w:rsidR="00E35618">
              <w:rPr>
                <w:rFonts w:cs="Arial"/>
              </w:rPr>
              <w:t>specifications</w:t>
            </w:r>
            <w:r w:rsidR="00656E67">
              <w:rPr>
                <w:rFonts w:cs="Arial"/>
              </w:rPr>
              <w:t xml:space="preserve"> of medicines</w:t>
            </w:r>
            <w:r w:rsidR="00E35618">
              <w:rPr>
                <w:rFonts w:cs="Arial"/>
              </w:rPr>
              <w:t>, processes, market knowledge, etc.)</w:t>
            </w:r>
            <w:r w:rsidRPr="00E3061C">
              <w:rPr>
                <w:rFonts w:cs="Arial"/>
              </w:rPr>
              <w:t>.</w:t>
            </w:r>
          </w:p>
        </w:tc>
        <w:tc>
          <w:tcPr>
            <w:tcW w:w="717" w:type="pct"/>
            <w:tcBorders>
              <w:top w:val="nil"/>
              <w:left w:val="single" w:sz="4" w:space="0" w:color="auto"/>
              <w:bottom w:val="nil"/>
              <w:right w:val="single" w:sz="4" w:space="0" w:color="auto"/>
            </w:tcBorders>
            <w:tcMar>
              <w:top w:w="108" w:type="dxa"/>
              <w:bottom w:w="108" w:type="dxa"/>
            </w:tcMar>
          </w:tcPr>
          <w:p w14:paraId="45335626" w14:textId="77777777" w:rsidR="0080500C" w:rsidRPr="004B6644" w:rsidRDefault="0080500C" w:rsidP="0080500C">
            <w:pPr>
              <w:spacing w:line="276" w:lineRule="auto"/>
              <w:jc w:val="center"/>
              <w:rPr>
                <w:rFonts w:cs="Arial"/>
                <w:szCs w:val="20"/>
              </w:rPr>
            </w:pPr>
            <w:r w:rsidRPr="004B6644">
              <w:rPr>
                <w:rFonts w:cs="Arial"/>
                <w:szCs w:val="20"/>
              </w:rPr>
              <w:sym w:font="Wingdings" w:char="F0FC"/>
            </w:r>
          </w:p>
          <w:p w14:paraId="7C9DAB20" w14:textId="457F95E2" w:rsidR="00CC69AE" w:rsidRPr="000E3192" w:rsidRDefault="00CC69AE" w:rsidP="005B51C1">
            <w:pPr>
              <w:spacing w:line="276" w:lineRule="auto"/>
              <w:jc w:val="center"/>
              <w:rPr>
                <w:rFonts w:cs="Arial"/>
                <w:szCs w:val="20"/>
              </w:rPr>
            </w:pPr>
          </w:p>
        </w:tc>
        <w:tc>
          <w:tcPr>
            <w:tcW w:w="717" w:type="pct"/>
            <w:tcBorders>
              <w:top w:val="single" w:sz="4" w:space="0" w:color="auto"/>
              <w:left w:val="single" w:sz="4" w:space="0" w:color="auto"/>
              <w:bottom w:val="single" w:sz="4" w:space="0" w:color="auto"/>
            </w:tcBorders>
            <w:tcMar>
              <w:top w:w="108" w:type="dxa"/>
              <w:bottom w:w="108" w:type="dxa"/>
            </w:tcMar>
          </w:tcPr>
          <w:p w14:paraId="47BAD5FF" w14:textId="77777777" w:rsidR="00CC69AE" w:rsidRPr="000E3192" w:rsidRDefault="00CC69AE" w:rsidP="005B51C1">
            <w:pPr>
              <w:spacing w:line="276" w:lineRule="auto"/>
              <w:jc w:val="center"/>
              <w:rPr>
                <w:rFonts w:cs="Arial"/>
                <w:szCs w:val="20"/>
              </w:rPr>
            </w:pPr>
          </w:p>
        </w:tc>
      </w:tr>
      <w:tr w:rsidR="00CC69AE" w:rsidRPr="000E3192" w14:paraId="5B2E4283" w14:textId="77777777" w:rsidTr="00A3678B">
        <w:tc>
          <w:tcPr>
            <w:tcW w:w="3566" w:type="pct"/>
            <w:tcBorders>
              <w:top w:val="nil"/>
              <w:left w:val="single" w:sz="4" w:space="0" w:color="auto"/>
              <w:bottom w:val="nil"/>
              <w:right w:val="single" w:sz="4" w:space="0" w:color="auto"/>
            </w:tcBorders>
            <w:tcMar>
              <w:top w:w="108" w:type="dxa"/>
              <w:bottom w:w="108" w:type="dxa"/>
            </w:tcMar>
          </w:tcPr>
          <w:p w14:paraId="200FE9FC" w14:textId="7409EC86" w:rsidR="00CC69AE" w:rsidRPr="000E3192" w:rsidRDefault="00833B5D" w:rsidP="005B51C1">
            <w:pPr>
              <w:spacing w:line="276" w:lineRule="auto"/>
              <w:rPr>
                <w:rFonts w:cs="Arial"/>
                <w:szCs w:val="20"/>
              </w:rPr>
            </w:pPr>
            <w:r w:rsidRPr="00E3061C">
              <w:rPr>
                <w:rFonts w:cs="Arial"/>
              </w:rPr>
              <w:t xml:space="preserve">Good understanding of </w:t>
            </w:r>
            <w:r w:rsidRPr="00C12B0A">
              <w:rPr>
                <w:rFonts w:cs="Arial"/>
              </w:rPr>
              <w:t>pharmaceutical and drug related laws and policies</w:t>
            </w:r>
            <w:r w:rsidR="00BF0134">
              <w:rPr>
                <w:rFonts w:cs="Arial"/>
              </w:rPr>
              <w:t xml:space="preserve"> in Nepal and of the regional market.</w:t>
            </w:r>
          </w:p>
        </w:tc>
        <w:tc>
          <w:tcPr>
            <w:tcW w:w="717" w:type="pct"/>
            <w:tcBorders>
              <w:top w:val="nil"/>
              <w:left w:val="single" w:sz="4" w:space="0" w:color="auto"/>
              <w:bottom w:val="nil"/>
              <w:right w:val="single" w:sz="4" w:space="0" w:color="auto"/>
            </w:tcBorders>
            <w:tcMar>
              <w:top w:w="108" w:type="dxa"/>
              <w:bottom w:w="108" w:type="dxa"/>
            </w:tcMar>
          </w:tcPr>
          <w:p w14:paraId="5D7CCC7D" w14:textId="77777777" w:rsidR="0080500C" w:rsidRPr="004B6644" w:rsidRDefault="0080500C" w:rsidP="0080500C">
            <w:pPr>
              <w:spacing w:line="276" w:lineRule="auto"/>
              <w:jc w:val="center"/>
              <w:rPr>
                <w:rFonts w:cs="Arial"/>
                <w:szCs w:val="20"/>
              </w:rPr>
            </w:pPr>
            <w:r w:rsidRPr="004B6644">
              <w:rPr>
                <w:rFonts w:cs="Arial"/>
                <w:szCs w:val="20"/>
              </w:rPr>
              <w:sym w:font="Wingdings" w:char="F0FC"/>
            </w:r>
          </w:p>
          <w:p w14:paraId="1D902BD6" w14:textId="4BDF39E4" w:rsidR="000A1654" w:rsidRPr="000E3192" w:rsidRDefault="000A1654" w:rsidP="005B51C1">
            <w:pPr>
              <w:spacing w:line="276" w:lineRule="auto"/>
              <w:jc w:val="center"/>
              <w:rPr>
                <w:rFonts w:cs="Arial"/>
                <w:szCs w:val="20"/>
              </w:rPr>
            </w:pPr>
          </w:p>
        </w:tc>
        <w:tc>
          <w:tcPr>
            <w:tcW w:w="717" w:type="pct"/>
            <w:tcBorders>
              <w:top w:val="single" w:sz="4" w:space="0" w:color="auto"/>
              <w:left w:val="single" w:sz="4" w:space="0" w:color="auto"/>
              <w:bottom w:val="single" w:sz="4" w:space="0" w:color="auto"/>
            </w:tcBorders>
            <w:tcMar>
              <w:top w:w="108" w:type="dxa"/>
              <w:bottom w:w="108" w:type="dxa"/>
            </w:tcMar>
          </w:tcPr>
          <w:p w14:paraId="3EEE6890" w14:textId="77777777" w:rsidR="00CC69AE" w:rsidRPr="000E3192" w:rsidRDefault="00CC69AE" w:rsidP="005B51C1">
            <w:pPr>
              <w:spacing w:line="276" w:lineRule="auto"/>
              <w:jc w:val="center"/>
              <w:rPr>
                <w:rFonts w:cs="Arial"/>
                <w:szCs w:val="20"/>
              </w:rPr>
            </w:pPr>
          </w:p>
        </w:tc>
      </w:tr>
      <w:tr w:rsidR="00CC69AE" w:rsidRPr="000E3192" w14:paraId="6B05646B" w14:textId="77777777" w:rsidTr="00A3678B">
        <w:tc>
          <w:tcPr>
            <w:tcW w:w="3566" w:type="pct"/>
            <w:tcBorders>
              <w:top w:val="nil"/>
              <w:left w:val="single" w:sz="4" w:space="0" w:color="auto"/>
              <w:bottom w:val="nil"/>
              <w:right w:val="single" w:sz="4" w:space="0" w:color="auto"/>
            </w:tcBorders>
            <w:tcMar>
              <w:top w:w="108" w:type="dxa"/>
              <w:bottom w:w="108" w:type="dxa"/>
            </w:tcMar>
          </w:tcPr>
          <w:p w14:paraId="755CC055" w14:textId="4A47C645" w:rsidR="00CC69AE" w:rsidRPr="00C12B0A" w:rsidRDefault="00833B5D" w:rsidP="005B51C1">
            <w:pPr>
              <w:spacing w:line="276" w:lineRule="auto"/>
              <w:jc w:val="both"/>
              <w:rPr>
                <w:rFonts w:cs="Arial"/>
              </w:rPr>
            </w:pPr>
            <w:r w:rsidRPr="00E3061C">
              <w:rPr>
                <w:rFonts w:cs="Arial"/>
              </w:rPr>
              <w:t>Knowledge and experience on GMP and quality assurance of pharmaceutical items.</w:t>
            </w:r>
          </w:p>
        </w:tc>
        <w:tc>
          <w:tcPr>
            <w:tcW w:w="717" w:type="pct"/>
            <w:tcBorders>
              <w:top w:val="nil"/>
              <w:left w:val="single" w:sz="4" w:space="0" w:color="auto"/>
              <w:bottom w:val="nil"/>
              <w:right w:val="single" w:sz="4" w:space="0" w:color="auto"/>
            </w:tcBorders>
            <w:tcMar>
              <w:top w:w="108" w:type="dxa"/>
              <w:bottom w:w="108" w:type="dxa"/>
            </w:tcMar>
          </w:tcPr>
          <w:p w14:paraId="17BDCBB4" w14:textId="77777777" w:rsidR="0080500C" w:rsidRPr="004B6644" w:rsidRDefault="0080500C" w:rsidP="0080500C">
            <w:pPr>
              <w:spacing w:line="276" w:lineRule="auto"/>
              <w:jc w:val="center"/>
              <w:rPr>
                <w:rFonts w:cs="Arial"/>
                <w:szCs w:val="20"/>
              </w:rPr>
            </w:pPr>
            <w:r w:rsidRPr="004B6644">
              <w:rPr>
                <w:rFonts w:cs="Arial"/>
                <w:szCs w:val="20"/>
              </w:rPr>
              <w:sym w:font="Wingdings" w:char="F0FC"/>
            </w:r>
          </w:p>
          <w:p w14:paraId="024B76CB" w14:textId="3E8E2979" w:rsidR="00CC69AE" w:rsidRPr="000E3192" w:rsidRDefault="00CC69AE" w:rsidP="005B51C1">
            <w:pPr>
              <w:spacing w:line="276" w:lineRule="auto"/>
              <w:jc w:val="center"/>
              <w:rPr>
                <w:rFonts w:cs="Arial"/>
                <w:szCs w:val="20"/>
              </w:rPr>
            </w:pPr>
          </w:p>
        </w:tc>
        <w:tc>
          <w:tcPr>
            <w:tcW w:w="717" w:type="pct"/>
            <w:tcBorders>
              <w:top w:val="single" w:sz="4" w:space="0" w:color="auto"/>
              <w:left w:val="single" w:sz="4" w:space="0" w:color="auto"/>
              <w:bottom w:val="single" w:sz="4" w:space="0" w:color="auto"/>
            </w:tcBorders>
            <w:tcMar>
              <w:top w:w="108" w:type="dxa"/>
              <w:bottom w:w="108" w:type="dxa"/>
            </w:tcMar>
          </w:tcPr>
          <w:p w14:paraId="2418EB3E" w14:textId="77777777" w:rsidR="00CC69AE" w:rsidRPr="000E3192" w:rsidRDefault="00CC69AE" w:rsidP="005B51C1">
            <w:pPr>
              <w:spacing w:line="276" w:lineRule="auto"/>
              <w:jc w:val="center"/>
              <w:rPr>
                <w:rFonts w:cs="Arial"/>
                <w:szCs w:val="20"/>
              </w:rPr>
            </w:pPr>
          </w:p>
        </w:tc>
      </w:tr>
      <w:tr w:rsidR="00CC69AE" w:rsidRPr="000E3192" w14:paraId="02DCAC64" w14:textId="77777777" w:rsidTr="00A3678B">
        <w:tc>
          <w:tcPr>
            <w:tcW w:w="3566" w:type="pct"/>
            <w:tcBorders>
              <w:top w:val="nil"/>
              <w:left w:val="single" w:sz="4" w:space="0" w:color="auto"/>
              <w:bottom w:val="nil"/>
              <w:right w:val="single" w:sz="4" w:space="0" w:color="auto"/>
            </w:tcBorders>
            <w:tcMar>
              <w:top w:w="108" w:type="dxa"/>
              <w:bottom w:w="108" w:type="dxa"/>
            </w:tcMar>
          </w:tcPr>
          <w:p w14:paraId="7C307AF6" w14:textId="3A5AE8D6" w:rsidR="00CC69AE" w:rsidRPr="000E3192" w:rsidRDefault="00833B5D" w:rsidP="005B51C1">
            <w:pPr>
              <w:spacing w:line="276" w:lineRule="auto"/>
              <w:rPr>
                <w:rFonts w:cs="Arial"/>
                <w:szCs w:val="20"/>
              </w:rPr>
            </w:pPr>
            <w:r w:rsidRPr="00E3061C">
              <w:rPr>
                <w:rFonts w:cs="Arial"/>
              </w:rPr>
              <w:t>Knowledge o</w:t>
            </w:r>
            <w:r w:rsidR="00EE0A1D">
              <w:rPr>
                <w:rFonts w:cs="Arial"/>
              </w:rPr>
              <w:t>f</w:t>
            </w:r>
            <w:r w:rsidR="00EE0A1D" w:rsidRPr="005B51C1">
              <w:rPr>
                <w:rFonts w:cs="Arial"/>
              </w:rPr>
              <w:t xml:space="preserve"> </w:t>
            </w:r>
            <w:r w:rsidRPr="005B51C1">
              <w:rPr>
                <w:rFonts w:cs="Arial"/>
              </w:rPr>
              <w:t>supply chain management</w:t>
            </w:r>
          </w:p>
        </w:tc>
        <w:tc>
          <w:tcPr>
            <w:tcW w:w="717" w:type="pct"/>
            <w:tcBorders>
              <w:top w:val="nil"/>
              <w:left w:val="single" w:sz="4" w:space="0" w:color="auto"/>
              <w:bottom w:val="nil"/>
              <w:right w:val="single" w:sz="4" w:space="0" w:color="auto"/>
            </w:tcBorders>
            <w:tcMar>
              <w:top w:w="108" w:type="dxa"/>
              <w:bottom w:w="108" w:type="dxa"/>
            </w:tcMar>
          </w:tcPr>
          <w:p w14:paraId="6AEA2CDF" w14:textId="0652210E" w:rsidR="00CC69AE" w:rsidRPr="000E3192" w:rsidRDefault="0039082F" w:rsidP="005B51C1">
            <w:pPr>
              <w:spacing w:line="276" w:lineRule="auto"/>
              <w:jc w:val="center"/>
              <w:rPr>
                <w:rFonts w:cs="Arial"/>
                <w:szCs w:val="20"/>
              </w:rPr>
            </w:pPr>
            <w:r w:rsidRPr="004B6644">
              <w:rPr>
                <w:rFonts w:cs="Arial"/>
                <w:szCs w:val="20"/>
              </w:rPr>
              <w:sym w:font="Wingdings" w:char="F0FC"/>
            </w:r>
          </w:p>
        </w:tc>
        <w:tc>
          <w:tcPr>
            <w:tcW w:w="717" w:type="pct"/>
            <w:tcBorders>
              <w:top w:val="single" w:sz="4" w:space="0" w:color="auto"/>
              <w:left w:val="single" w:sz="4" w:space="0" w:color="auto"/>
              <w:bottom w:val="single" w:sz="4" w:space="0" w:color="auto"/>
            </w:tcBorders>
            <w:tcMar>
              <w:top w:w="108" w:type="dxa"/>
              <w:bottom w:w="108" w:type="dxa"/>
            </w:tcMar>
          </w:tcPr>
          <w:p w14:paraId="34C84A71" w14:textId="77777777" w:rsidR="00CC69AE" w:rsidRPr="000E3192" w:rsidRDefault="00CC69AE" w:rsidP="005B51C1">
            <w:pPr>
              <w:spacing w:line="276" w:lineRule="auto"/>
              <w:jc w:val="center"/>
              <w:rPr>
                <w:rFonts w:cs="Arial"/>
                <w:szCs w:val="20"/>
              </w:rPr>
            </w:pPr>
          </w:p>
        </w:tc>
      </w:tr>
      <w:tr w:rsidR="00F3756B" w:rsidRPr="000E3192" w14:paraId="4D9C2DD1" w14:textId="77777777" w:rsidTr="00A3678B">
        <w:tc>
          <w:tcPr>
            <w:tcW w:w="3566" w:type="pct"/>
            <w:tcBorders>
              <w:top w:val="single" w:sz="4" w:space="0" w:color="auto"/>
              <w:bottom w:val="single" w:sz="4" w:space="0" w:color="auto"/>
              <w:right w:val="nil"/>
            </w:tcBorders>
            <w:tcMar>
              <w:top w:w="108" w:type="dxa"/>
              <w:bottom w:w="108" w:type="dxa"/>
            </w:tcMar>
          </w:tcPr>
          <w:p w14:paraId="412C5719" w14:textId="77777777" w:rsidR="00FB2FA5" w:rsidRPr="000E3192" w:rsidRDefault="00FB2FA5" w:rsidP="005B51C1">
            <w:pPr>
              <w:spacing w:line="276" w:lineRule="auto"/>
              <w:rPr>
                <w:rFonts w:cs="Arial"/>
                <w:color w:val="002060"/>
                <w:szCs w:val="20"/>
              </w:rPr>
            </w:pPr>
            <w:r w:rsidRPr="000E3192">
              <w:rPr>
                <w:rFonts w:cs="Arial"/>
                <w:b/>
                <w:color w:val="002060"/>
                <w:szCs w:val="20"/>
              </w:rPr>
              <w:t>Skills and attributes</w:t>
            </w:r>
          </w:p>
        </w:tc>
        <w:tc>
          <w:tcPr>
            <w:tcW w:w="717" w:type="pct"/>
            <w:tcBorders>
              <w:top w:val="single" w:sz="4" w:space="0" w:color="auto"/>
              <w:left w:val="nil"/>
              <w:bottom w:val="single" w:sz="4" w:space="0" w:color="auto"/>
              <w:right w:val="nil"/>
            </w:tcBorders>
            <w:tcMar>
              <w:top w:w="108" w:type="dxa"/>
              <w:bottom w:w="108" w:type="dxa"/>
            </w:tcMar>
          </w:tcPr>
          <w:p w14:paraId="5D16204A" w14:textId="77777777" w:rsidR="00FB2FA5" w:rsidRPr="000E3192" w:rsidRDefault="00FB2FA5" w:rsidP="005B51C1">
            <w:pPr>
              <w:spacing w:line="276" w:lineRule="auto"/>
              <w:jc w:val="center"/>
              <w:rPr>
                <w:rFonts w:cs="Arial"/>
                <w:color w:val="002060"/>
                <w:szCs w:val="20"/>
              </w:rPr>
            </w:pPr>
          </w:p>
        </w:tc>
        <w:tc>
          <w:tcPr>
            <w:tcW w:w="717" w:type="pct"/>
            <w:tcBorders>
              <w:top w:val="single" w:sz="4" w:space="0" w:color="auto"/>
              <w:left w:val="nil"/>
              <w:bottom w:val="single" w:sz="4" w:space="0" w:color="auto"/>
            </w:tcBorders>
            <w:tcMar>
              <w:top w:w="108" w:type="dxa"/>
              <w:bottom w:w="108" w:type="dxa"/>
            </w:tcMar>
          </w:tcPr>
          <w:p w14:paraId="34E1984A" w14:textId="77777777" w:rsidR="00FB2FA5" w:rsidRPr="000E3192" w:rsidRDefault="00FB2FA5" w:rsidP="005B51C1">
            <w:pPr>
              <w:spacing w:line="276" w:lineRule="auto"/>
              <w:jc w:val="center"/>
              <w:rPr>
                <w:rFonts w:cs="Arial"/>
                <w:color w:val="002060"/>
                <w:szCs w:val="20"/>
              </w:rPr>
            </w:pPr>
          </w:p>
        </w:tc>
      </w:tr>
      <w:tr w:rsidR="00223645" w:rsidRPr="000E3192" w14:paraId="3503B3CE" w14:textId="77777777" w:rsidTr="00223645">
        <w:tc>
          <w:tcPr>
            <w:tcW w:w="3566" w:type="pct"/>
            <w:tcBorders>
              <w:bottom w:val="nil"/>
            </w:tcBorders>
            <w:tcMar>
              <w:top w:w="108" w:type="dxa"/>
              <w:bottom w:w="108" w:type="dxa"/>
            </w:tcMar>
            <w:vAlign w:val="bottom"/>
          </w:tcPr>
          <w:p w14:paraId="7B968A15" w14:textId="2944ECC8" w:rsidR="00223645" w:rsidRPr="000E3192" w:rsidRDefault="00223645" w:rsidP="005B51C1">
            <w:pPr>
              <w:spacing w:line="276" w:lineRule="auto"/>
              <w:rPr>
                <w:rFonts w:cs="Arial"/>
                <w:szCs w:val="18"/>
              </w:rPr>
            </w:pPr>
            <w:r w:rsidRPr="000E3192">
              <w:rPr>
                <w:rFonts w:cs="Arial"/>
                <w:color w:val="000000"/>
                <w:szCs w:val="18"/>
              </w:rPr>
              <w:t>Strong leadership skills</w:t>
            </w:r>
          </w:p>
        </w:tc>
        <w:tc>
          <w:tcPr>
            <w:tcW w:w="717" w:type="pct"/>
            <w:tcBorders>
              <w:bottom w:val="nil"/>
            </w:tcBorders>
            <w:tcMar>
              <w:top w:w="108" w:type="dxa"/>
              <w:bottom w:w="108" w:type="dxa"/>
            </w:tcMar>
            <w:vAlign w:val="bottom"/>
          </w:tcPr>
          <w:p w14:paraId="593C3BB1" w14:textId="09BF933B" w:rsidR="00223645" w:rsidRPr="000E3192" w:rsidRDefault="007E0DF7" w:rsidP="005B51C1">
            <w:pPr>
              <w:spacing w:line="276" w:lineRule="auto"/>
              <w:jc w:val="center"/>
              <w:rPr>
                <w:rFonts w:cs="Arial"/>
                <w:szCs w:val="20"/>
              </w:rPr>
            </w:pPr>
            <w:r w:rsidRPr="000E3192">
              <w:rPr>
                <w:rFonts w:cs="Arial"/>
                <w:szCs w:val="20"/>
              </w:rPr>
              <w:sym w:font="Wingdings" w:char="F0FC"/>
            </w:r>
          </w:p>
        </w:tc>
        <w:tc>
          <w:tcPr>
            <w:tcW w:w="717" w:type="pct"/>
            <w:tcBorders>
              <w:bottom w:val="nil"/>
            </w:tcBorders>
            <w:tcMar>
              <w:top w:w="108" w:type="dxa"/>
              <w:bottom w:w="108" w:type="dxa"/>
            </w:tcMar>
            <w:vAlign w:val="bottom"/>
          </w:tcPr>
          <w:p w14:paraId="5F9011B2" w14:textId="77777777" w:rsidR="00223645" w:rsidRPr="000E3192" w:rsidRDefault="00223645" w:rsidP="005B51C1">
            <w:pPr>
              <w:spacing w:line="276" w:lineRule="auto"/>
              <w:jc w:val="center"/>
              <w:rPr>
                <w:rFonts w:cs="Arial"/>
                <w:szCs w:val="20"/>
              </w:rPr>
            </w:pPr>
          </w:p>
        </w:tc>
      </w:tr>
      <w:tr w:rsidR="00223645" w:rsidRPr="000E3192" w14:paraId="60D200DE" w14:textId="77777777" w:rsidTr="00223645">
        <w:tc>
          <w:tcPr>
            <w:tcW w:w="3566" w:type="pct"/>
            <w:tcBorders>
              <w:top w:val="nil"/>
              <w:bottom w:val="nil"/>
            </w:tcBorders>
            <w:tcMar>
              <w:top w:w="108" w:type="dxa"/>
              <w:bottom w:w="108" w:type="dxa"/>
            </w:tcMar>
            <w:vAlign w:val="bottom"/>
          </w:tcPr>
          <w:p w14:paraId="215EE9DB" w14:textId="543C807C" w:rsidR="00223645" w:rsidRPr="000E3192" w:rsidRDefault="00223645" w:rsidP="005B51C1">
            <w:pPr>
              <w:spacing w:line="276" w:lineRule="auto"/>
              <w:rPr>
                <w:rFonts w:cs="Arial"/>
                <w:szCs w:val="18"/>
              </w:rPr>
            </w:pPr>
            <w:r w:rsidRPr="000E3192">
              <w:rPr>
                <w:rFonts w:cs="Arial"/>
                <w:color w:val="000000"/>
                <w:szCs w:val="18"/>
              </w:rPr>
              <w:lastRenderedPageBreak/>
              <w:t>Self-starter, able to work independently or as part of a team</w:t>
            </w:r>
          </w:p>
        </w:tc>
        <w:tc>
          <w:tcPr>
            <w:tcW w:w="717" w:type="pct"/>
            <w:tcBorders>
              <w:top w:val="nil"/>
              <w:bottom w:val="nil"/>
            </w:tcBorders>
            <w:tcMar>
              <w:top w:w="108" w:type="dxa"/>
              <w:bottom w:w="108" w:type="dxa"/>
            </w:tcMar>
            <w:vAlign w:val="bottom"/>
          </w:tcPr>
          <w:p w14:paraId="513E350C" w14:textId="157FF8A8" w:rsidR="00223645" w:rsidRPr="000E3192" w:rsidRDefault="007E0DF7" w:rsidP="005B51C1">
            <w:pPr>
              <w:spacing w:line="276" w:lineRule="auto"/>
              <w:jc w:val="center"/>
              <w:rPr>
                <w:rFonts w:cs="Arial"/>
                <w:szCs w:val="20"/>
              </w:rPr>
            </w:pPr>
            <w:r w:rsidRPr="000E3192">
              <w:rPr>
                <w:rFonts w:cs="Arial"/>
                <w:szCs w:val="20"/>
              </w:rPr>
              <w:sym w:font="Wingdings" w:char="F0FC"/>
            </w:r>
          </w:p>
        </w:tc>
        <w:tc>
          <w:tcPr>
            <w:tcW w:w="717" w:type="pct"/>
            <w:tcBorders>
              <w:top w:val="nil"/>
              <w:bottom w:val="nil"/>
            </w:tcBorders>
            <w:tcMar>
              <w:top w:w="108" w:type="dxa"/>
              <w:bottom w:w="108" w:type="dxa"/>
            </w:tcMar>
            <w:vAlign w:val="bottom"/>
          </w:tcPr>
          <w:p w14:paraId="5A85F9EE" w14:textId="77777777" w:rsidR="00223645" w:rsidRPr="000E3192" w:rsidRDefault="00223645" w:rsidP="005B51C1">
            <w:pPr>
              <w:spacing w:line="276" w:lineRule="auto"/>
              <w:jc w:val="center"/>
              <w:rPr>
                <w:rFonts w:cs="Arial"/>
                <w:szCs w:val="20"/>
              </w:rPr>
            </w:pPr>
          </w:p>
        </w:tc>
      </w:tr>
      <w:tr w:rsidR="00223645" w:rsidRPr="000E3192" w14:paraId="3D3C301D" w14:textId="77777777" w:rsidTr="00223645">
        <w:tc>
          <w:tcPr>
            <w:tcW w:w="3566" w:type="pct"/>
            <w:tcBorders>
              <w:top w:val="nil"/>
              <w:bottom w:val="nil"/>
            </w:tcBorders>
            <w:tcMar>
              <w:top w:w="108" w:type="dxa"/>
              <w:bottom w:w="108" w:type="dxa"/>
            </w:tcMar>
            <w:vAlign w:val="bottom"/>
          </w:tcPr>
          <w:p w14:paraId="3F3F3D42" w14:textId="3019E7FE" w:rsidR="00223645" w:rsidRPr="000E3192" w:rsidRDefault="00223645" w:rsidP="005B51C1">
            <w:pPr>
              <w:spacing w:line="276" w:lineRule="auto"/>
              <w:rPr>
                <w:rFonts w:cs="Arial"/>
                <w:szCs w:val="18"/>
              </w:rPr>
            </w:pPr>
            <w:r w:rsidRPr="000E3192">
              <w:rPr>
                <w:rFonts w:cs="Arial"/>
                <w:color w:val="000000"/>
                <w:szCs w:val="18"/>
              </w:rPr>
              <w:t>Critical thinking and problem solving skills</w:t>
            </w:r>
          </w:p>
        </w:tc>
        <w:tc>
          <w:tcPr>
            <w:tcW w:w="717" w:type="pct"/>
            <w:tcBorders>
              <w:top w:val="nil"/>
              <w:bottom w:val="nil"/>
            </w:tcBorders>
            <w:tcMar>
              <w:top w:w="108" w:type="dxa"/>
              <w:bottom w:w="108" w:type="dxa"/>
            </w:tcMar>
            <w:vAlign w:val="bottom"/>
          </w:tcPr>
          <w:p w14:paraId="781DD3A1" w14:textId="6972FDAD" w:rsidR="00223645" w:rsidRPr="000E3192" w:rsidRDefault="007E0DF7" w:rsidP="005B51C1">
            <w:pPr>
              <w:spacing w:line="276" w:lineRule="auto"/>
              <w:jc w:val="center"/>
              <w:rPr>
                <w:rFonts w:cs="Arial"/>
                <w:szCs w:val="20"/>
              </w:rPr>
            </w:pPr>
            <w:r w:rsidRPr="000E3192">
              <w:rPr>
                <w:rFonts w:cs="Arial"/>
                <w:szCs w:val="20"/>
              </w:rPr>
              <w:sym w:font="Wingdings" w:char="F0FC"/>
            </w:r>
          </w:p>
        </w:tc>
        <w:tc>
          <w:tcPr>
            <w:tcW w:w="717" w:type="pct"/>
            <w:tcBorders>
              <w:top w:val="nil"/>
              <w:bottom w:val="nil"/>
            </w:tcBorders>
            <w:tcMar>
              <w:top w:w="108" w:type="dxa"/>
              <w:bottom w:w="108" w:type="dxa"/>
            </w:tcMar>
            <w:vAlign w:val="bottom"/>
          </w:tcPr>
          <w:p w14:paraId="2B4CD2B5" w14:textId="77777777" w:rsidR="00223645" w:rsidRPr="000E3192" w:rsidRDefault="00223645" w:rsidP="005B51C1">
            <w:pPr>
              <w:spacing w:line="276" w:lineRule="auto"/>
              <w:jc w:val="center"/>
              <w:rPr>
                <w:rFonts w:cs="Arial"/>
                <w:szCs w:val="20"/>
              </w:rPr>
            </w:pPr>
          </w:p>
        </w:tc>
      </w:tr>
      <w:tr w:rsidR="00223645" w:rsidRPr="000E3192" w14:paraId="037BF29E" w14:textId="77777777" w:rsidTr="00223645">
        <w:tc>
          <w:tcPr>
            <w:tcW w:w="3566" w:type="pct"/>
            <w:tcBorders>
              <w:top w:val="nil"/>
              <w:bottom w:val="nil"/>
            </w:tcBorders>
            <w:tcMar>
              <w:top w:w="108" w:type="dxa"/>
              <w:bottom w:w="108" w:type="dxa"/>
            </w:tcMar>
            <w:vAlign w:val="bottom"/>
          </w:tcPr>
          <w:p w14:paraId="2CF099BA" w14:textId="79D2F0A8" w:rsidR="00223645" w:rsidRPr="000E3192" w:rsidRDefault="003A0DD8" w:rsidP="005B51C1">
            <w:pPr>
              <w:spacing w:line="276" w:lineRule="auto"/>
              <w:rPr>
                <w:rFonts w:cs="Arial"/>
                <w:szCs w:val="18"/>
              </w:rPr>
            </w:pPr>
            <w:r w:rsidRPr="000E3192">
              <w:rPr>
                <w:rFonts w:cs="Arial"/>
                <w:color w:val="000000"/>
                <w:szCs w:val="18"/>
              </w:rPr>
              <w:t xml:space="preserve">Excellent planning </w:t>
            </w:r>
            <w:r w:rsidR="00223645" w:rsidRPr="000E3192">
              <w:rPr>
                <w:rFonts w:cs="Arial"/>
                <w:color w:val="000000"/>
                <w:szCs w:val="18"/>
              </w:rPr>
              <w:t>and organising</w:t>
            </w:r>
            <w:r w:rsidRPr="000E3192">
              <w:rPr>
                <w:rFonts w:cs="Arial"/>
                <w:color w:val="000000"/>
                <w:szCs w:val="18"/>
              </w:rPr>
              <w:t xml:space="preserve"> skills</w:t>
            </w:r>
          </w:p>
        </w:tc>
        <w:tc>
          <w:tcPr>
            <w:tcW w:w="717" w:type="pct"/>
            <w:tcBorders>
              <w:top w:val="nil"/>
              <w:bottom w:val="nil"/>
            </w:tcBorders>
            <w:tcMar>
              <w:top w:w="108" w:type="dxa"/>
              <w:bottom w:w="108" w:type="dxa"/>
            </w:tcMar>
            <w:vAlign w:val="bottom"/>
          </w:tcPr>
          <w:p w14:paraId="25464CD6" w14:textId="7B7ABBF9" w:rsidR="00223645" w:rsidRPr="000E3192" w:rsidRDefault="007E0DF7" w:rsidP="005B51C1">
            <w:pPr>
              <w:spacing w:line="276" w:lineRule="auto"/>
              <w:jc w:val="center"/>
              <w:rPr>
                <w:rFonts w:cs="Arial"/>
                <w:szCs w:val="20"/>
              </w:rPr>
            </w:pPr>
            <w:r w:rsidRPr="000E3192">
              <w:rPr>
                <w:rFonts w:cs="Arial"/>
                <w:szCs w:val="20"/>
              </w:rPr>
              <w:sym w:font="Wingdings" w:char="F0FC"/>
            </w:r>
          </w:p>
        </w:tc>
        <w:tc>
          <w:tcPr>
            <w:tcW w:w="717" w:type="pct"/>
            <w:tcBorders>
              <w:top w:val="nil"/>
              <w:bottom w:val="nil"/>
            </w:tcBorders>
            <w:tcMar>
              <w:top w:w="108" w:type="dxa"/>
              <w:bottom w:w="108" w:type="dxa"/>
            </w:tcMar>
            <w:vAlign w:val="bottom"/>
          </w:tcPr>
          <w:p w14:paraId="14FE8689" w14:textId="77777777" w:rsidR="00223645" w:rsidRPr="000E3192" w:rsidRDefault="00223645" w:rsidP="005B51C1">
            <w:pPr>
              <w:spacing w:line="276" w:lineRule="auto"/>
              <w:jc w:val="center"/>
              <w:rPr>
                <w:rFonts w:cs="Arial"/>
                <w:szCs w:val="20"/>
              </w:rPr>
            </w:pPr>
          </w:p>
        </w:tc>
      </w:tr>
      <w:tr w:rsidR="00223645" w:rsidRPr="000E3192" w14:paraId="480FA358" w14:textId="77777777" w:rsidTr="00223645">
        <w:tc>
          <w:tcPr>
            <w:tcW w:w="3566" w:type="pct"/>
            <w:tcBorders>
              <w:top w:val="nil"/>
              <w:bottom w:val="nil"/>
            </w:tcBorders>
            <w:tcMar>
              <w:top w:w="108" w:type="dxa"/>
              <w:bottom w:w="108" w:type="dxa"/>
            </w:tcMar>
            <w:vAlign w:val="bottom"/>
          </w:tcPr>
          <w:p w14:paraId="249A6BDA" w14:textId="791CFFE1" w:rsidR="00223645" w:rsidRPr="000E3192" w:rsidRDefault="003A0DD8" w:rsidP="005B51C1">
            <w:pPr>
              <w:spacing w:line="276" w:lineRule="auto"/>
              <w:rPr>
                <w:rFonts w:cs="Arial"/>
                <w:szCs w:val="18"/>
              </w:rPr>
            </w:pPr>
            <w:r w:rsidRPr="000E3192">
              <w:rPr>
                <w:rFonts w:cs="Arial"/>
                <w:color w:val="000000"/>
                <w:szCs w:val="18"/>
              </w:rPr>
              <w:t>Ability to make and articulate clear decisions</w:t>
            </w:r>
          </w:p>
        </w:tc>
        <w:tc>
          <w:tcPr>
            <w:tcW w:w="717" w:type="pct"/>
            <w:tcBorders>
              <w:top w:val="nil"/>
              <w:bottom w:val="nil"/>
            </w:tcBorders>
            <w:tcMar>
              <w:top w:w="108" w:type="dxa"/>
              <w:bottom w:w="108" w:type="dxa"/>
            </w:tcMar>
            <w:vAlign w:val="bottom"/>
          </w:tcPr>
          <w:p w14:paraId="53286263" w14:textId="2E8A2F67" w:rsidR="00223645" w:rsidRPr="000E3192" w:rsidRDefault="007E0DF7" w:rsidP="005B51C1">
            <w:pPr>
              <w:spacing w:line="276" w:lineRule="auto"/>
              <w:jc w:val="center"/>
              <w:rPr>
                <w:rFonts w:cs="Arial"/>
                <w:szCs w:val="20"/>
              </w:rPr>
            </w:pPr>
            <w:r w:rsidRPr="000E3192">
              <w:rPr>
                <w:rFonts w:cs="Arial"/>
                <w:szCs w:val="20"/>
              </w:rPr>
              <w:sym w:font="Wingdings" w:char="F0FC"/>
            </w:r>
          </w:p>
        </w:tc>
        <w:tc>
          <w:tcPr>
            <w:tcW w:w="717" w:type="pct"/>
            <w:tcBorders>
              <w:top w:val="nil"/>
              <w:bottom w:val="nil"/>
            </w:tcBorders>
            <w:tcMar>
              <w:top w:w="108" w:type="dxa"/>
              <w:bottom w:w="108" w:type="dxa"/>
            </w:tcMar>
            <w:vAlign w:val="bottom"/>
          </w:tcPr>
          <w:p w14:paraId="4F5341C9" w14:textId="77777777" w:rsidR="00223645" w:rsidRPr="000E3192" w:rsidRDefault="00223645" w:rsidP="005B51C1">
            <w:pPr>
              <w:spacing w:line="276" w:lineRule="auto"/>
              <w:jc w:val="center"/>
              <w:rPr>
                <w:rFonts w:cs="Arial"/>
                <w:szCs w:val="20"/>
              </w:rPr>
            </w:pPr>
          </w:p>
        </w:tc>
      </w:tr>
      <w:tr w:rsidR="00223645" w:rsidRPr="000E3192" w14:paraId="14EC79D1" w14:textId="77777777" w:rsidTr="00223645">
        <w:tc>
          <w:tcPr>
            <w:tcW w:w="3566" w:type="pct"/>
            <w:tcBorders>
              <w:top w:val="nil"/>
              <w:bottom w:val="nil"/>
            </w:tcBorders>
            <w:tcMar>
              <w:top w:w="108" w:type="dxa"/>
              <w:bottom w:w="108" w:type="dxa"/>
            </w:tcMar>
            <w:vAlign w:val="bottom"/>
          </w:tcPr>
          <w:p w14:paraId="5168DC36" w14:textId="68916547" w:rsidR="00223645" w:rsidRPr="000E3192" w:rsidRDefault="003A0DD8" w:rsidP="005B51C1">
            <w:pPr>
              <w:spacing w:line="276" w:lineRule="auto"/>
              <w:rPr>
                <w:rFonts w:cs="Arial"/>
                <w:szCs w:val="18"/>
              </w:rPr>
            </w:pPr>
            <w:r w:rsidRPr="000E3192">
              <w:rPr>
                <w:rFonts w:cs="Arial"/>
                <w:color w:val="000000"/>
                <w:szCs w:val="18"/>
              </w:rPr>
              <w:t>Strong internal and external communication and facilitation skills</w:t>
            </w:r>
          </w:p>
        </w:tc>
        <w:tc>
          <w:tcPr>
            <w:tcW w:w="717" w:type="pct"/>
            <w:tcBorders>
              <w:top w:val="nil"/>
              <w:bottom w:val="nil"/>
            </w:tcBorders>
            <w:tcMar>
              <w:top w:w="108" w:type="dxa"/>
              <w:bottom w:w="108" w:type="dxa"/>
            </w:tcMar>
            <w:vAlign w:val="bottom"/>
          </w:tcPr>
          <w:p w14:paraId="3ED4D73D" w14:textId="06494449" w:rsidR="00223645" w:rsidRPr="000E3192" w:rsidRDefault="007E0DF7" w:rsidP="005B51C1">
            <w:pPr>
              <w:spacing w:line="276" w:lineRule="auto"/>
              <w:jc w:val="center"/>
              <w:rPr>
                <w:rFonts w:cs="Arial"/>
                <w:szCs w:val="20"/>
              </w:rPr>
            </w:pPr>
            <w:r w:rsidRPr="000E3192">
              <w:rPr>
                <w:rFonts w:cs="Arial"/>
                <w:szCs w:val="20"/>
              </w:rPr>
              <w:sym w:font="Wingdings" w:char="F0FC"/>
            </w:r>
          </w:p>
        </w:tc>
        <w:tc>
          <w:tcPr>
            <w:tcW w:w="717" w:type="pct"/>
            <w:tcBorders>
              <w:top w:val="nil"/>
              <w:bottom w:val="nil"/>
            </w:tcBorders>
            <w:tcMar>
              <w:top w:w="108" w:type="dxa"/>
              <w:bottom w:w="108" w:type="dxa"/>
            </w:tcMar>
            <w:vAlign w:val="bottom"/>
          </w:tcPr>
          <w:p w14:paraId="06520DEA" w14:textId="77777777" w:rsidR="00223645" w:rsidRPr="000E3192" w:rsidRDefault="00223645" w:rsidP="005B51C1">
            <w:pPr>
              <w:spacing w:line="276" w:lineRule="auto"/>
              <w:jc w:val="center"/>
              <w:rPr>
                <w:rFonts w:cs="Arial"/>
                <w:szCs w:val="20"/>
              </w:rPr>
            </w:pPr>
          </w:p>
        </w:tc>
      </w:tr>
      <w:tr w:rsidR="00223645" w:rsidRPr="000E3192" w14:paraId="4C72323F" w14:textId="77777777" w:rsidTr="00223645">
        <w:tc>
          <w:tcPr>
            <w:tcW w:w="3566" w:type="pct"/>
            <w:tcBorders>
              <w:top w:val="nil"/>
              <w:bottom w:val="nil"/>
            </w:tcBorders>
            <w:tcMar>
              <w:top w:w="108" w:type="dxa"/>
              <w:bottom w:w="108" w:type="dxa"/>
            </w:tcMar>
            <w:vAlign w:val="bottom"/>
          </w:tcPr>
          <w:p w14:paraId="233714E7" w14:textId="2CE74F74" w:rsidR="00223645" w:rsidRPr="000E3192" w:rsidRDefault="003A0DD8" w:rsidP="005B51C1">
            <w:pPr>
              <w:spacing w:line="276" w:lineRule="auto"/>
              <w:rPr>
                <w:rFonts w:cs="Arial"/>
                <w:szCs w:val="18"/>
              </w:rPr>
            </w:pPr>
            <w:r w:rsidRPr="000E3192">
              <w:rPr>
                <w:rFonts w:cs="Arial"/>
                <w:color w:val="000000"/>
                <w:szCs w:val="18"/>
              </w:rPr>
              <w:t>Ability to collaborate and be a team worker</w:t>
            </w:r>
          </w:p>
        </w:tc>
        <w:tc>
          <w:tcPr>
            <w:tcW w:w="717" w:type="pct"/>
            <w:tcBorders>
              <w:top w:val="nil"/>
              <w:bottom w:val="nil"/>
            </w:tcBorders>
            <w:tcMar>
              <w:top w:w="108" w:type="dxa"/>
              <w:bottom w:w="108" w:type="dxa"/>
            </w:tcMar>
            <w:vAlign w:val="bottom"/>
          </w:tcPr>
          <w:p w14:paraId="1329AB47" w14:textId="43CD4B08" w:rsidR="00223645" w:rsidRPr="000E3192" w:rsidRDefault="007E0DF7" w:rsidP="005B51C1">
            <w:pPr>
              <w:spacing w:line="276" w:lineRule="auto"/>
              <w:jc w:val="center"/>
              <w:rPr>
                <w:rFonts w:cs="Arial"/>
                <w:szCs w:val="20"/>
              </w:rPr>
            </w:pPr>
            <w:r w:rsidRPr="000E3192">
              <w:rPr>
                <w:rFonts w:cs="Arial"/>
                <w:szCs w:val="20"/>
              </w:rPr>
              <w:sym w:font="Wingdings" w:char="F0FC"/>
            </w:r>
          </w:p>
        </w:tc>
        <w:tc>
          <w:tcPr>
            <w:tcW w:w="717" w:type="pct"/>
            <w:tcBorders>
              <w:top w:val="nil"/>
              <w:bottom w:val="nil"/>
            </w:tcBorders>
            <w:tcMar>
              <w:top w:w="108" w:type="dxa"/>
              <w:bottom w:w="108" w:type="dxa"/>
            </w:tcMar>
            <w:vAlign w:val="bottom"/>
          </w:tcPr>
          <w:p w14:paraId="409C6F9A" w14:textId="77777777" w:rsidR="00223645" w:rsidRPr="000E3192" w:rsidRDefault="00223645" w:rsidP="005B51C1">
            <w:pPr>
              <w:spacing w:line="276" w:lineRule="auto"/>
              <w:jc w:val="center"/>
              <w:rPr>
                <w:rFonts w:cs="Arial"/>
                <w:szCs w:val="20"/>
              </w:rPr>
            </w:pPr>
          </w:p>
        </w:tc>
      </w:tr>
      <w:tr w:rsidR="00223645" w:rsidRPr="000E3192" w14:paraId="12A8283F" w14:textId="77777777" w:rsidTr="00223645">
        <w:tc>
          <w:tcPr>
            <w:tcW w:w="3566" w:type="pct"/>
            <w:tcBorders>
              <w:top w:val="nil"/>
            </w:tcBorders>
            <w:tcMar>
              <w:top w:w="108" w:type="dxa"/>
              <w:bottom w:w="108" w:type="dxa"/>
            </w:tcMar>
            <w:vAlign w:val="bottom"/>
          </w:tcPr>
          <w:p w14:paraId="098622E6" w14:textId="40DFD5E1" w:rsidR="00223645" w:rsidRPr="000E3192" w:rsidRDefault="003A0DD8" w:rsidP="005B51C1">
            <w:pPr>
              <w:spacing w:line="276" w:lineRule="auto"/>
              <w:rPr>
                <w:rFonts w:cs="Arial"/>
                <w:szCs w:val="18"/>
              </w:rPr>
            </w:pPr>
            <w:r w:rsidRPr="000E3192">
              <w:rPr>
                <w:rFonts w:cs="Arial"/>
                <w:color w:val="000000"/>
                <w:szCs w:val="18"/>
              </w:rPr>
              <w:t>Excellent negotiation abilities</w:t>
            </w:r>
          </w:p>
        </w:tc>
        <w:tc>
          <w:tcPr>
            <w:tcW w:w="717" w:type="pct"/>
            <w:tcBorders>
              <w:top w:val="nil"/>
            </w:tcBorders>
            <w:tcMar>
              <w:top w:w="108" w:type="dxa"/>
              <w:bottom w:w="108" w:type="dxa"/>
            </w:tcMar>
            <w:vAlign w:val="bottom"/>
          </w:tcPr>
          <w:p w14:paraId="79F580E8" w14:textId="35C459AF" w:rsidR="00223645" w:rsidRPr="000E3192" w:rsidRDefault="007E0DF7" w:rsidP="005B51C1">
            <w:pPr>
              <w:spacing w:line="276" w:lineRule="auto"/>
              <w:jc w:val="center"/>
              <w:rPr>
                <w:rFonts w:cs="Arial"/>
                <w:szCs w:val="20"/>
              </w:rPr>
            </w:pPr>
            <w:r w:rsidRPr="000E3192">
              <w:rPr>
                <w:rFonts w:cs="Arial"/>
                <w:szCs w:val="20"/>
              </w:rPr>
              <w:sym w:font="Wingdings" w:char="F0FC"/>
            </w:r>
          </w:p>
        </w:tc>
        <w:tc>
          <w:tcPr>
            <w:tcW w:w="717" w:type="pct"/>
            <w:tcBorders>
              <w:top w:val="nil"/>
            </w:tcBorders>
            <w:tcMar>
              <w:top w:w="108" w:type="dxa"/>
              <w:bottom w:w="108" w:type="dxa"/>
            </w:tcMar>
            <w:vAlign w:val="bottom"/>
          </w:tcPr>
          <w:p w14:paraId="5A5F3CB1" w14:textId="77777777" w:rsidR="00223645" w:rsidRPr="000E3192" w:rsidRDefault="00223645" w:rsidP="005B51C1">
            <w:pPr>
              <w:spacing w:line="276" w:lineRule="auto"/>
              <w:jc w:val="center"/>
              <w:rPr>
                <w:rFonts w:cs="Arial"/>
                <w:szCs w:val="20"/>
              </w:rPr>
            </w:pPr>
          </w:p>
        </w:tc>
      </w:tr>
      <w:tr w:rsidR="00F3756B" w:rsidRPr="000E3192" w14:paraId="48B61F7D" w14:textId="77777777" w:rsidTr="002E75D4">
        <w:tc>
          <w:tcPr>
            <w:tcW w:w="3566" w:type="pct"/>
            <w:tcBorders>
              <w:right w:val="nil"/>
            </w:tcBorders>
            <w:tcMar>
              <w:top w:w="108" w:type="dxa"/>
              <w:bottom w:w="108" w:type="dxa"/>
            </w:tcMar>
          </w:tcPr>
          <w:p w14:paraId="6A15AD04" w14:textId="77777777" w:rsidR="00FB2FA5" w:rsidRPr="000E3192" w:rsidRDefault="00FB2FA5" w:rsidP="005B51C1">
            <w:pPr>
              <w:spacing w:line="276" w:lineRule="auto"/>
              <w:rPr>
                <w:rFonts w:cs="Arial"/>
                <w:color w:val="002060"/>
                <w:szCs w:val="20"/>
              </w:rPr>
            </w:pPr>
            <w:r w:rsidRPr="000E3192">
              <w:rPr>
                <w:rFonts w:cs="Arial"/>
                <w:b/>
                <w:color w:val="002060"/>
                <w:szCs w:val="20"/>
              </w:rPr>
              <w:t>Other requirements</w:t>
            </w:r>
          </w:p>
        </w:tc>
        <w:tc>
          <w:tcPr>
            <w:tcW w:w="717" w:type="pct"/>
            <w:tcBorders>
              <w:left w:val="nil"/>
              <w:right w:val="nil"/>
            </w:tcBorders>
            <w:tcMar>
              <w:top w:w="108" w:type="dxa"/>
              <w:bottom w:w="108" w:type="dxa"/>
            </w:tcMar>
          </w:tcPr>
          <w:p w14:paraId="5C9B61B8" w14:textId="77777777" w:rsidR="00FB2FA5" w:rsidRPr="000E3192" w:rsidRDefault="00FB2FA5" w:rsidP="005B51C1">
            <w:pPr>
              <w:spacing w:line="276" w:lineRule="auto"/>
              <w:jc w:val="center"/>
              <w:rPr>
                <w:rFonts w:cs="Arial"/>
                <w:color w:val="002060"/>
                <w:szCs w:val="20"/>
              </w:rPr>
            </w:pPr>
          </w:p>
        </w:tc>
        <w:tc>
          <w:tcPr>
            <w:tcW w:w="717" w:type="pct"/>
            <w:tcBorders>
              <w:left w:val="nil"/>
            </w:tcBorders>
            <w:tcMar>
              <w:top w:w="108" w:type="dxa"/>
              <w:bottom w:w="108" w:type="dxa"/>
            </w:tcMar>
          </w:tcPr>
          <w:p w14:paraId="5000C5EE" w14:textId="77777777" w:rsidR="00FB2FA5" w:rsidRPr="000E3192" w:rsidRDefault="00FB2FA5" w:rsidP="005B51C1">
            <w:pPr>
              <w:spacing w:line="276" w:lineRule="auto"/>
              <w:jc w:val="center"/>
              <w:rPr>
                <w:rFonts w:cs="Arial"/>
                <w:color w:val="002060"/>
                <w:szCs w:val="20"/>
              </w:rPr>
            </w:pPr>
          </w:p>
        </w:tc>
      </w:tr>
      <w:tr w:rsidR="00FB2FA5" w:rsidRPr="000E3192" w14:paraId="79F2868E" w14:textId="77777777" w:rsidTr="002E75D4">
        <w:tc>
          <w:tcPr>
            <w:tcW w:w="3566" w:type="pct"/>
            <w:tcMar>
              <w:top w:w="108" w:type="dxa"/>
              <w:bottom w:w="108" w:type="dxa"/>
            </w:tcMar>
          </w:tcPr>
          <w:p w14:paraId="5A96D07E" w14:textId="77777777" w:rsidR="002A1BBF" w:rsidRPr="000E3192" w:rsidRDefault="002A1BBF" w:rsidP="005B51C1">
            <w:pPr>
              <w:spacing w:line="276" w:lineRule="auto"/>
              <w:contextualSpacing/>
              <w:rPr>
                <w:rFonts w:cs="Arial"/>
                <w:szCs w:val="20"/>
              </w:rPr>
            </w:pPr>
            <w:r w:rsidRPr="000E3192">
              <w:rPr>
                <w:rFonts w:cs="Arial"/>
                <w:szCs w:val="20"/>
              </w:rPr>
              <w:t>Commitment to equal opportunities</w:t>
            </w:r>
          </w:p>
          <w:p w14:paraId="66C95773" w14:textId="77777777" w:rsidR="002A1BBF" w:rsidRPr="000E3192" w:rsidRDefault="002A1BBF" w:rsidP="005B51C1">
            <w:pPr>
              <w:spacing w:line="276" w:lineRule="auto"/>
              <w:contextualSpacing/>
              <w:rPr>
                <w:rFonts w:cs="Arial"/>
                <w:szCs w:val="20"/>
              </w:rPr>
            </w:pPr>
          </w:p>
          <w:p w14:paraId="6963E01E" w14:textId="77777777" w:rsidR="00FA7262" w:rsidRPr="000E3192" w:rsidRDefault="00FA7262">
            <w:pPr>
              <w:spacing w:line="276" w:lineRule="auto"/>
              <w:contextualSpacing/>
              <w:rPr>
                <w:rFonts w:cs="Arial"/>
                <w:szCs w:val="20"/>
              </w:rPr>
            </w:pPr>
            <w:r w:rsidRPr="000E3192">
              <w:rPr>
                <w:rFonts w:cs="Arial"/>
                <w:szCs w:val="20"/>
              </w:rPr>
              <w:t>A commitment to the programme’s and NHSSP principles of Safeguarding, Do No Harm, and to comprehensive sexual and reproductive health and rights</w:t>
            </w:r>
          </w:p>
          <w:p w14:paraId="77D18B83" w14:textId="77777777" w:rsidR="00FA7262" w:rsidRPr="000E3192" w:rsidRDefault="00FA7262" w:rsidP="005B51C1">
            <w:pPr>
              <w:spacing w:line="276" w:lineRule="auto"/>
              <w:contextualSpacing/>
              <w:rPr>
                <w:rFonts w:cs="Arial"/>
                <w:szCs w:val="20"/>
              </w:rPr>
            </w:pPr>
          </w:p>
          <w:p w14:paraId="552CC346" w14:textId="709DFBCB" w:rsidR="002A1BBF" w:rsidRPr="000E3192" w:rsidRDefault="002A1BBF" w:rsidP="005B51C1">
            <w:pPr>
              <w:spacing w:line="276" w:lineRule="auto"/>
              <w:contextualSpacing/>
              <w:rPr>
                <w:rFonts w:cs="Arial"/>
                <w:szCs w:val="20"/>
              </w:rPr>
            </w:pPr>
            <w:r w:rsidRPr="000E3192">
              <w:rPr>
                <w:rFonts w:cs="Arial"/>
                <w:szCs w:val="20"/>
              </w:rPr>
              <w:t>Applicants must have the right to live and to work in Nepal</w:t>
            </w:r>
          </w:p>
          <w:p w14:paraId="314C2EDF" w14:textId="77777777" w:rsidR="002A1BBF" w:rsidRPr="000E3192" w:rsidRDefault="002A1BBF" w:rsidP="005B51C1">
            <w:pPr>
              <w:spacing w:line="276" w:lineRule="auto"/>
              <w:contextualSpacing/>
              <w:rPr>
                <w:rFonts w:cs="Arial"/>
                <w:szCs w:val="20"/>
              </w:rPr>
            </w:pPr>
          </w:p>
          <w:p w14:paraId="405A9E38" w14:textId="77777777" w:rsidR="002A1BBF" w:rsidRPr="000E3192" w:rsidRDefault="002A1BBF" w:rsidP="005B51C1">
            <w:pPr>
              <w:spacing w:line="276" w:lineRule="auto"/>
              <w:rPr>
                <w:rFonts w:cs="Arial"/>
                <w:szCs w:val="20"/>
              </w:rPr>
            </w:pPr>
            <w:r w:rsidRPr="000E3192">
              <w:rPr>
                <w:rFonts w:cs="Arial"/>
                <w:szCs w:val="20"/>
              </w:rPr>
              <w:t xml:space="preserve">Ability to travel within Nepal as required </w:t>
            </w:r>
          </w:p>
          <w:p w14:paraId="55606076" w14:textId="77777777" w:rsidR="00FB2FA5" w:rsidRPr="000E3192" w:rsidRDefault="00FB2FA5" w:rsidP="005B51C1">
            <w:pPr>
              <w:spacing w:line="276" w:lineRule="auto"/>
              <w:rPr>
                <w:rFonts w:cs="Arial"/>
                <w:szCs w:val="20"/>
              </w:rPr>
            </w:pPr>
          </w:p>
          <w:p w14:paraId="6D6169AE" w14:textId="77777777" w:rsidR="00FB2FA5" w:rsidRPr="000E3192" w:rsidRDefault="00FB2FA5" w:rsidP="005B51C1">
            <w:pPr>
              <w:spacing w:line="276" w:lineRule="auto"/>
              <w:contextualSpacing/>
              <w:rPr>
                <w:rFonts w:cs="Arial"/>
                <w:szCs w:val="20"/>
              </w:rPr>
            </w:pPr>
            <w:r w:rsidRPr="000E3192">
              <w:rPr>
                <w:rFonts w:cs="Arial"/>
                <w:szCs w:val="20"/>
              </w:rPr>
              <w:t>Fluency in written and spoken English</w:t>
            </w:r>
          </w:p>
        </w:tc>
        <w:tc>
          <w:tcPr>
            <w:tcW w:w="717" w:type="pct"/>
            <w:tcMar>
              <w:top w:w="108" w:type="dxa"/>
              <w:bottom w:w="108" w:type="dxa"/>
            </w:tcMar>
          </w:tcPr>
          <w:p w14:paraId="4D2017BE" w14:textId="77777777" w:rsidR="00FB2FA5" w:rsidRPr="000E3192" w:rsidRDefault="00FB2FA5" w:rsidP="005B51C1">
            <w:pPr>
              <w:spacing w:line="276" w:lineRule="auto"/>
              <w:jc w:val="center"/>
              <w:rPr>
                <w:rFonts w:cs="Arial"/>
                <w:szCs w:val="20"/>
              </w:rPr>
            </w:pPr>
            <w:r w:rsidRPr="000E3192">
              <w:rPr>
                <w:rFonts w:cs="Arial"/>
                <w:szCs w:val="20"/>
              </w:rPr>
              <w:sym w:font="Wingdings" w:char="F0FC"/>
            </w:r>
          </w:p>
          <w:p w14:paraId="633BC4A4" w14:textId="77777777" w:rsidR="00FB2FA5" w:rsidRPr="000E3192" w:rsidRDefault="00FB2FA5" w:rsidP="005B51C1">
            <w:pPr>
              <w:spacing w:line="276" w:lineRule="auto"/>
              <w:jc w:val="center"/>
              <w:rPr>
                <w:rFonts w:cs="Arial"/>
                <w:szCs w:val="20"/>
              </w:rPr>
            </w:pPr>
          </w:p>
          <w:p w14:paraId="5A9C6901" w14:textId="739E925E" w:rsidR="00FB2FA5" w:rsidRPr="000E3192" w:rsidRDefault="00FB2FA5" w:rsidP="005B51C1">
            <w:pPr>
              <w:spacing w:line="276" w:lineRule="auto"/>
              <w:jc w:val="center"/>
              <w:rPr>
                <w:rFonts w:cs="Arial"/>
                <w:szCs w:val="20"/>
              </w:rPr>
            </w:pPr>
            <w:r w:rsidRPr="000E3192">
              <w:rPr>
                <w:rFonts w:cs="Arial"/>
                <w:szCs w:val="20"/>
              </w:rPr>
              <w:sym w:font="Wingdings" w:char="F0FC"/>
            </w:r>
          </w:p>
          <w:p w14:paraId="25622440" w14:textId="3CE208AA" w:rsidR="000C6DBD" w:rsidRPr="000E3192" w:rsidRDefault="000C6DBD" w:rsidP="005B51C1">
            <w:pPr>
              <w:spacing w:line="276" w:lineRule="auto"/>
              <w:jc w:val="center"/>
              <w:rPr>
                <w:rFonts w:cs="Arial"/>
                <w:szCs w:val="20"/>
              </w:rPr>
            </w:pPr>
          </w:p>
          <w:p w14:paraId="46734723" w14:textId="4F7CDA56" w:rsidR="00FA7262" w:rsidRPr="000E3192" w:rsidRDefault="00FA7262" w:rsidP="005B51C1">
            <w:pPr>
              <w:spacing w:line="276" w:lineRule="auto"/>
              <w:jc w:val="center"/>
              <w:rPr>
                <w:rFonts w:cs="Arial"/>
                <w:szCs w:val="20"/>
              </w:rPr>
            </w:pPr>
          </w:p>
          <w:p w14:paraId="03D1002B" w14:textId="77777777" w:rsidR="00FA7262" w:rsidRPr="000E3192" w:rsidRDefault="00FA7262" w:rsidP="005B51C1">
            <w:pPr>
              <w:spacing w:line="276" w:lineRule="auto"/>
              <w:jc w:val="center"/>
              <w:rPr>
                <w:rFonts w:cs="Arial"/>
                <w:szCs w:val="20"/>
              </w:rPr>
            </w:pPr>
          </w:p>
          <w:p w14:paraId="3D752401" w14:textId="77777777" w:rsidR="000C6DBD" w:rsidRPr="000E3192" w:rsidRDefault="000C6DBD" w:rsidP="005B51C1">
            <w:pPr>
              <w:spacing w:line="276" w:lineRule="auto"/>
              <w:jc w:val="center"/>
              <w:rPr>
                <w:rFonts w:cs="Arial"/>
                <w:szCs w:val="20"/>
              </w:rPr>
            </w:pPr>
            <w:r w:rsidRPr="000E3192">
              <w:rPr>
                <w:rFonts w:cs="Arial"/>
                <w:szCs w:val="20"/>
              </w:rPr>
              <w:sym w:font="Wingdings" w:char="F0FC"/>
            </w:r>
          </w:p>
          <w:p w14:paraId="51F30FA2" w14:textId="77777777" w:rsidR="000C6DBD" w:rsidRPr="000E3192" w:rsidRDefault="000C6DBD" w:rsidP="005B51C1">
            <w:pPr>
              <w:spacing w:line="276" w:lineRule="auto"/>
              <w:jc w:val="center"/>
              <w:rPr>
                <w:rFonts w:cs="Arial"/>
                <w:szCs w:val="20"/>
              </w:rPr>
            </w:pPr>
          </w:p>
          <w:p w14:paraId="1E50BD3E" w14:textId="77777777" w:rsidR="000C6DBD" w:rsidRPr="000E3192" w:rsidRDefault="000C6DBD" w:rsidP="005B51C1">
            <w:pPr>
              <w:spacing w:line="276" w:lineRule="auto"/>
              <w:jc w:val="center"/>
              <w:rPr>
                <w:rFonts w:cs="Arial"/>
                <w:szCs w:val="20"/>
              </w:rPr>
            </w:pPr>
            <w:r w:rsidRPr="000E3192">
              <w:rPr>
                <w:rFonts w:cs="Arial"/>
                <w:szCs w:val="20"/>
              </w:rPr>
              <w:sym w:font="Wingdings" w:char="F0FC"/>
            </w:r>
          </w:p>
          <w:p w14:paraId="25B64E1E" w14:textId="77777777" w:rsidR="00FA7262" w:rsidRPr="000E3192" w:rsidRDefault="00FA7262" w:rsidP="005B51C1">
            <w:pPr>
              <w:spacing w:line="276" w:lineRule="auto"/>
              <w:jc w:val="center"/>
              <w:rPr>
                <w:rFonts w:cs="Arial"/>
                <w:szCs w:val="20"/>
              </w:rPr>
            </w:pPr>
          </w:p>
          <w:p w14:paraId="06F3A1A5" w14:textId="5DDF9483" w:rsidR="00FA7262" w:rsidRPr="000E3192" w:rsidRDefault="00FA7262" w:rsidP="005B51C1">
            <w:pPr>
              <w:spacing w:line="276" w:lineRule="auto"/>
              <w:jc w:val="center"/>
              <w:rPr>
                <w:rFonts w:cs="Arial"/>
                <w:szCs w:val="20"/>
              </w:rPr>
            </w:pPr>
            <w:r w:rsidRPr="000E3192">
              <w:rPr>
                <w:rFonts w:cs="Arial"/>
                <w:szCs w:val="20"/>
              </w:rPr>
              <w:sym w:font="Wingdings" w:char="F0FC"/>
            </w:r>
          </w:p>
        </w:tc>
        <w:tc>
          <w:tcPr>
            <w:tcW w:w="717" w:type="pct"/>
            <w:tcMar>
              <w:top w:w="108" w:type="dxa"/>
              <w:bottom w:w="108" w:type="dxa"/>
            </w:tcMar>
          </w:tcPr>
          <w:p w14:paraId="4B8CF728" w14:textId="77777777" w:rsidR="00FB2FA5" w:rsidRPr="000E3192" w:rsidRDefault="00FB2FA5" w:rsidP="005B51C1">
            <w:pPr>
              <w:spacing w:line="276" w:lineRule="auto"/>
              <w:jc w:val="center"/>
              <w:rPr>
                <w:rFonts w:cs="Arial"/>
                <w:szCs w:val="20"/>
              </w:rPr>
            </w:pPr>
          </w:p>
        </w:tc>
      </w:tr>
    </w:tbl>
    <w:p w14:paraId="37DAE578" w14:textId="63A1EE4E" w:rsidR="00E954C6" w:rsidRPr="000E3192" w:rsidRDefault="00E954C6" w:rsidP="00E954C6">
      <w:pPr>
        <w:tabs>
          <w:tab w:val="left" w:pos="1486"/>
        </w:tabs>
        <w:rPr>
          <w:rFonts w:cs="Arial"/>
          <w:szCs w:val="20"/>
        </w:rPr>
      </w:pPr>
      <w:r w:rsidRPr="000E3192">
        <w:rPr>
          <w:rFonts w:cs="Arial"/>
          <w:szCs w:val="20"/>
        </w:rPr>
        <w:tab/>
      </w:r>
    </w:p>
    <w:sectPr w:rsidR="00E954C6" w:rsidRPr="000E3192" w:rsidSect="00D35E7A">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489B" w14:textId="77777777" w:rsidR="009566C1" w:rsidRDefault="009566C1" w:rsidP="00474CE0">
      <w:pPr>
        <w:spacing w:after="0" w:line="240" w:lineRule="auto"/>
      </w:pPr>
      <w:r>
        <w:separator/>
      </w:r>
    </w:p>
  </w:endnote>
  <w:endnote w:type="continuationSeparator" w:id="0">
    <w:p w14:paraId="13184552" w14:textId="77777777" w:rsidR="009566C1" w:rsidRDefault="009566C1" w:rsidP="00474CE0">
      <w:pPr>
        <w:spacing w:after="0" w:line="240" w:lineRule="auto"/>
      </w:pPr>
      <w:r>
        <w:continuationSeparator/>
      </w:r>
    </w:p>
  </w:endnote>
  <w:endnote w:type="continuationNotice" w:id="1">
    <w:p w14:paraId="0FA656A0" w14:textId="77777777" w:rsidR="009566C1" w:rsidRDefault="00956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Condensed">
    <w:altName w:val="Courier New"/>
    <w:charset w:val="00"/>
    <w:family w:val="auto"/>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730117"/>
      <w:docPartObj>
        <w:docPartGallery w:val="Page Numbers (Bottom of Page)"/>
        <w:docPartUnique/>
      </w:docPartObj>
    </w:sdtPr>
    <w:sdtEndPr>
      <w:rPr>
        <w:color w:val="7F7F7F" w:themeColor="background1" w:themeShade="7F"/>
        <w:spacing w:val="60"/>
      </w:rPr>
    </w:sdtEndPr>
    <w:sdtContent>
      <w:p w14:paraId="4FA55A6E" w14:textId="39523012" w:rsidR="00BA4CA9" w:rsidRDefault="00BA4CA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6266" w:rsidRPr="00DA6266">
          <w:rPr>
            <w:b/>
            <w:bCs/>
            <w:noProof/>
          </w:rPr>
          <w:t>2</w:t>
        </w:r>
        <w:r>
          <w:rPr>
            <w:b/>
            <w:bCs/>
            <w:noProof/>
          </w:rPr>
          <w:fldChar w:fldCharType="end"/>
        </w:r>
        <w:r>
          <w:rPr>
            <w:b/>
            <w:bCs/>
          </w:rPr>
          <w:t xml:space="preserve"> | </w:t>
        </w:r>
        <w:r>
          <w:rPr>
            <w:color w:val="7F7F7F" w:themeColor="background1" w:themeShade="7F"/>
            <w:spacing w:val="60"/>
          </w:rPr>
          <w:t>Page</w:t>
        </w:r>
      </w:p>
    </w:sdtContent>
  </w:sdt>
  <w:p w14:paraId="6F64DB61" w14:textId="77777777" w:rsidR="00BA4CA9" w:rsidRDefault="00BA4C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DC94D" w14:textId="77777777" w:rsidR="009566C1" w:rsidRDefault="009566C1" w:rsidP="00474CE0">
      <w:pPr>
        <w:spacing w:after="0" w:line="240" w:lineRule="auto"/>
      </w:pPr>
      <w:r>
        <w:separator/>
      </w:r>
    </w:p>
  </w:footnote>
  <w:footnote w:type="continuationSeparator" w:id="0">
    <w:p w14:paraId="1AD5A845" w14:textId="77777777" w:rsidR="009566C1" w:rsidRDefault="009566C1" w:rsidP="00474CE0">
      <w:pPr>
        <w:spacing w:after="0" w:line="240" w:lineRule="auto"/>
      </w:pPr>
      <w:r>
        <w:continuationSeparator/>
      </w:r>
    </w:p>
  </w:footnote>
  <w:footnote w:type="continuationNotice" w:id="1">
    <w:p w14:paraId="0457F516" w14:textId="77777777" w:rsidR="009566C1" w:rsidRDefault="009566C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294"/>
    <w:multiLevelType w:val="hybridMultilevel"/>
    <w:tmpl w:val="383E32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E56AD"/>
    <w:multiLevelType w:val="hybridMultilevel"/>
    <w:tmpl w:val="7CC4037C"/>
    <w:lvl w:ilvl="0" w:tplc="BFAA666A">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319"/>
    <w:multiLevelType w:val="hybridMultilevel"/>
    <w:tmpl w:val="8F1A3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10E3C"/>
    <w:multiLevelType w:val="hybridMultilevel"/>
    <w:tmpl w:val="9FA611E4"/>
    <w:lvl w:ilvl="0" w:tplc="51045790">
      <w:start w:val="1"/>
      <w:numFmt w:val="bullet"/>
      <w:lvlText w:val=""/>
      <w:lvlJc w:val="left"/>
      <w:pPr>
        <w:ind w:left="360" w:hanging="360"/>
      </w:pPr>
      <w:rPr>
        <w:rFonts w:ascii="Symbol" w:hAnsi="Symbol" w:hint="default"/>
        <w:color w:val="00645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FD7F41"/>
    <w:multiLevelType w:val="hybridMultilevel"/>
    <w:tmpl w:val="D73EFBC4"/>
    <w:lvl w:ilvl="0" w:tplc="147403FA">
      <w:start w:val="1"/>
      <w:numFmt w:val="bullet"/>
      <w:lvlText w:val=""/>
      <w:lvlJc w:val="left"/>
      <w:pPr>
        <w:ind w:left="360" w:hanging="360"/>
      </w:pPr>
      <w:rPr>
        <w:rFonts w:ascii="Symbol" w:hAnsi="Symbol" w:hint="default"/>
        <w:color w:val="00645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906AF"/>
    <w:multiLevelType w:val="hybridMultilevel"/>
    <w:tmpl w:val="12B04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526E0F"/>
    <w:multiLevelType w:val="hybridMultilevel"/>
    <w:tmpl w:val="6AEEC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549A8"/>
    <w:multiLevelType w:val="hybridMultilevel"/>
    <w:tmpl w:val="E4E23318"/>
    <w:lvl w:ilvl="0" w:tplc="51045790">
      <w:start w:val="1"/>
      <w:numFmt w:val="bullet"/>
      <w:lvlText w:val=""/>
      <w:lvlJc w:val="left"/>
      <w:pPr>
        <w:ind w:left="360" w:hanging="360"/>
      </w:pPr>
      <w:rPr>
        <w:rFonts w:ascii="Symbol" w:hAnsi="Symbol" w:hint="default"/>
        <w:color w:val="00645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2F4E15"/>
    <w:multiLevelType w:val="hybridMultilevel"/>
    <w:tmpl w:val="626AE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C550F8"/>
    <w:multiLevelType w:val="hybridMultilevel"/>
    <w:tmpl w:val="EB909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6C48DA"/>
    <w:multiLevelType w:val="hybridMultilevel"/>
    <w:tmpl w:val="98C8DF9C"/>
    <w:lvl w:ilvl="0" w:tplc="08090001">
      <w:start w:val="1"/>
      <w:numFmt w:val="bullet"/>
      <w:lvlText w:val=""/>
      <w:lvlJc w:val="left"/>
      <w:pPr>
        <w:ind w:left="360" w:hanging="360"/>
      </w:pPr>
      <w:rPr>
        <w:rFonts w:ascii="Symbol" w:hAnsi="Symbol" w:hint="default"/>
      </w:rPr>
    </w:lvl>
    <w:lvl w:ilvl="1" w:tplc="18C24A34">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1C412B"/>
    <w:multiLevelType w:val="hybridMultilevel"/>
    <w:tmpl w:val="C2EC8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F6319"/>
    <w:multiLevelType w:val="hybridMultilevel"/>
    <w:tmpl w:val="F064D51C"/>
    <w:lvl w:ilvl="0" w:tplc="42788222">
      <w:start w:val="1"/>
      <w:numFmt w:val="bullet"/>
      <w:lvlText w:val="•"/>
      <w:lvlJc w:val="left"/>
      <w:pPr>
        <w:tabs>
          <w:tab w:val="num" w:pos="720"/>
        </w:tabs>
        <w:ind w:left="720" w:hanging="360"/>
      </w:pPr>
      <w:rPr>
        <w:rFonts w:ascii="Times New Roman" w:hAnsi="Times New Roman" w:hint="default"/>
      </w:rPr>
    </w:lvl>
    <w:lvl w:ilvl="1" w:tplc="EC6800E0" w:tentative="1">
      <w:start w:val="1"/>
      <w:numFmt w:val="bullet"/>
      <w:lvlText w:val="•"/>
      <w:lvlJc w:val="left"/>
      <w:pPr>
        <w:tabs>
          <w:tab w:val="num" w:pos="1440"/>
        </w:tabs>
        <w:ind w:left="1440" w:hanging="360"/>
      </w:pPr>
      <w:rPr>
        <w:rFonts w:ascii="Times New Roman" w:hAnsi="Times New Roman" w:hint="default"/>
      </w:rPr>
    </w:lvl>
    <w:lvl w:ilvl="2" w:tplc="DB304778" w:tentative="1">
      <w:start w:val="1"/>
      <w:numFmt w:val="bullet"/>
      <w:lvlText w:val="•"/>
      <w:lvlJc w:val="left"/>
      <w:pPr>
        <w:tabs>
          <w:tab w:val="num" w:pos="2160"/>
        </w:tabs>
        <w:ind w:left="2160" w:hanging="360"/>
      </w:pPr>
      <w:rPr>
        <w:rFonts w:ascii="Times New Roman" w:hAnsi="Times New Roman" w:hint="default"/>
      </w:rPr>
    </w:lvl>
    <w:lvl w:ilvl="3" w:tplc="2B305EE0" w:tentative="1">
      <w:start w:val="1"/>
      <w:numFmt w:val="bullet"/>
      <w:lvlText w:val="•"/>
      <w:lvlJc w:val="left"/>
      <w:pPr>
        <w:tabs>
          <w:tab w:val="num" w:pos="2880"/>
        </w:tabs>
        <w:ind w:left="2880" w:hanging="360"/>
      </w:pPr>
      <w:rPr>
        <w:rFonts w:ascii="Times New Roman" w:hAnsi="Times New Roman" w:hint="default"/>
      </w:rPr>
    </w:lvl>
    <w:lvl w:ilvl="4" w:tplc="4BA46BAE" w:tentative="1">
      <w:start w:val="1"/>
      <w:numFmt w:val="bullet"/>
      <w:lvlText w:val="•"/>
      <w:lvlJc w:val="left"/>
      <w:pPr>
        <w:tabs>
          <w:tab w:val="num" w:pos="3600"/>
        </w:tabs>
        <w:ind w:left="3600" w:hanging="360"/>
      </w:pPr>
      <w:rPr>
        <w:rFonts w:ascii="Times New Roman" w:hAnsi="Times New Roman" w:hint="default"/>
      </w:rPr>
    </w:lvl>
    <w:lvl w:ilvl="5" w:tplc="5F1AE6DC" w:tentative="1">
      <w:start w:val="1"/>
      <w:numFmt w:val="bullet"/>
      <w:lvlText w:val="•"/>
      <w:lvlJc w:val="left"/>
      <w:pPr>
        <w:tabs>
          <w:tab w:val="num" w:pos="4320"/>
        </w:tabs>
        <w:ind w:left="4320" w:hanging="360"/>
      </w:pPr>
      <w:rPr>
        <w:rFonts w:ascii="Times New Roman" w:hAnsi="Times New Roman" w:hint="default"/>
      </w:rPr>
    </w:lvl>
    <w:lvl w:ilvl="6" w:tplc="0EF4E150" w:tentative="1">
      <w:start w:val="1"/>
      <w:numFmt w:val="bullet"/>
      <w:lvlText w:val="•"/>
      <w:lvlJc w:val="left"/>
      <w:pPr>
        <w:tabs>
          <w:tab w:val="num" w:pos="5040"/>
        </w:tabs>
        <w:ind w:left="5040" w:hanging="360"/>
      </w:pPr>
      <w:rPr>
        <w:rFonts w:ascii="Times New Roman" w:hAnsi="Times New Roman" w:hint="default"/>
      </w:rPr>
    </w:lvl>
    <w:lvl w:ilvl="7" w:tplc="556EB006" w:tentative="1">
      <w:start w:val="1"/>
      <w:numFmt w:val="bullet"/>
      <w:lvlText w:val="•"/>
      <w:lvlJc w:val="left"/>
      <w:pPr>
        <w:tabs>
          <w:tab w:val="num" w:pos="5760"/>
        </w:tabs>
        <w:ind w:left="5760" w:hanging="360"/>
      </w:pPr>
      <w:rPr>
        <w:rFonts w:ascii="Times New Roman" w:hAnsi="Times New Roman" w:hint="default"/>
      </w:rPr>
    </w:lvl>
    <w:lvl w:ilvl="8" w:tplc="57D88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FF4D92"/>
    <w:multiLevelType w:val="hybridMultilevel"/>
    <w:tmpl w:val="3D764AE8"/>
    <w:lvl w:ilvl="0" w:tplc="51045790">
      <w:start w:val="1"/>
      <w:numFmt w:val="bullet"/>
      <w:lvlText w:val=""/>
      <w:lvlJc w:val="left"/>
      <w:pPr>
        <w:ind w:left="360" w:hanging="360"/>
      </w:pPr>
      <w:rPr>
        <w:rFonts w:ascii="Symbol" w:hAnsi="Symbol" w:hint="default"/>
        <w:color w:val="00645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55132F"/>
    <w:multiLevelType w:val="hybridMultilevel"/>
    <w:tmpl w:val="18F25710"/>
    <w:lvl w:ilvl="0" w:tplc="08090001">
      <w:start w:val="1"/>
      <w:numFmt w:val="bullet"/>
      <w:lvlText w:val=""/>
      <w:lvlJc w:val="left"/>
      <w:pPr>
        <w:ind w:left="720" w:hanging="360"/>
      </w:pPr>
      <w:rPr>
        <w:rFonts w:ascii="Symbol" w:hAnsi="Symbol" w:hint="default"/>
      </w:rPr>
    </w:lvl>
    <w:lvl w:ilvl="1" w:tplc="6A885F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A2886"/>
    <w:multiLevelType w:val="hybridMultilevel"/>
    <w:tmpl w:val="9D3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F7953"/>
    <w:multiLevelType w:val="hybridMultilevel"/>
    <w:tmpl w:val="9598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348F4"/>
    <w:multiLevelType w:val="hybridMultilevel"/>
    <w:tmpl w:val="1D1CF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BF3AC2"/>
    <w:multiLevelType w:val="hybridMultilevel"/>
    <w:tmpl w:val="EA44D49C"/>
    <w:lvl w:ilvl="0" w:tplc="1F6864D0">
      <w:start w:val="1"/>
      <w:numFmt w:val="bullet"/>
      <w:lvlText w:val="•"/>
      <w:lvlJc w:val="left"/>
      <w:pPr>
        <w:tabs>
          <w:tab w:val="num" w:pos="720"/>
        </w:tabs>
        <w:ind w:left="720" w:hanging="360"/>
      </w:pPr>
      <w:rPr>
        <w:rFonts w:ascii="Times New Roman" w:hAnsi="Times New Roman" w:hint="default"/>
      </w:rPr>
    </w:lvl>
    <w:lvl w:ilvl="1" w:tplc="D8BE8532" w:tentative="1">
      <w:start w:val="1"/>
      <w:numFmt w:val="bullet"/>
      <w:lvlText w:val="•"/>
      <w:lvlJc w:val="left"/>
      <w:pPr>
        <w:tabs>
          <w:tab w:val="num" w:pos="1440"/>
        </w:tabs>
        <w:ind w:left="1440" w:hanging="360"/>
      </w:pPr>
      <w:rPr>
        <w:rFonts w:ascii="Times New Roman" w:hAnsi="Times New Roman" w:hint="default"/>
      </w:rPr>
    </w:lvl>
    <w:lvl w:ilvl="2" w:tplc="2DC0710A" w:tentative="1">
      <w:start w:val="1"/>
      <w:numFmt w:val="bullet"/>
      <w:lvlText w:val="•"/>
      <w:lvlJc w:val="left"/>
      <w:pPr>
        <w:tabs>
          <w:tab w:val="num" w:pos="2160"/>
        </w:tabs>
        <w:ind w:left="2160" w:hanging="360"/>
      </w:pPr>
      <w:rPr>
        <w:rFonts w:ascii="Times New Roman" w:hAnsi="Times New Roman" w:hint="default"/>
      </w:rPr>
    </w:lvl>
    <w:lvl w:ilvl="3" w:tplc="2BE8E49E" w:tentative="1">
      <w:start w:val="1"/>
      <w:numFmt w:val="bullet"/>
      <w:lvlText w:val="•"/>
      <w:lvlJc w:val="left"/>
      <w:pPr>
        <w:tabs>
          <w:tab w:val="num" w:pos="2880"/>
        </w:tabs>
        <w:ind w:left="2880" w:hanging="360"/>
      </w:pPr>
      <w:rPr>
        <w:rFonts w:ascii="Times New Roman" w:hAnsi="Times New Roman" w:hint="default"/>
      </w:rPr>
    </w:lvl>
    <w:lvl w:ilvl="4" w:tplc="433A8BA0" w:tentative="1">
      <w:start w:val="1"/>
      <w:numFmt w:val="bullet"/>
      <w:lvlText w:val="•"/>
      <w:lvlJc w:val="left"/>
      <w:pPr>
        <w:tabs>
          <w:tab w:val="num" w:pos="3600"/>
        </w:tabs>
        <w:ind w:left="3600" w:hanging="360"/>
      </w:pPr>
      <w:rPr>
        <w:rFonts w:ascii="Times New Roman" w:hAnsi="Times New Roman" w:hint="default"/>
      </w:rPr>
    </w:lvl>
    <w:lvl w:ilvl="5" w:tplc="1E0AF04E" w:tentative="1">
      <w:start w:val="1"/>
      <w:numFmt w:val="bullet"/>
      <w:lvlText w:val="•"/>
      <w:lvlJc w:val="left"/>
      <w:pPr>
        <w:tabs>
          <w:tab w:val="num" w:pos="4320"/>
        </w:tabs>
        <w:ind w:left="4320" w:hanging="360"/>
      </w:pPr>
      <w:rPr>
        <w:rFonts w:ascii="Times New Roman" w:hAnsi="Times New Roman" w:hint="default"/>
      </w:rPr>
    </w:lvl>
    <w:lvl w:ilvl="6" w:tplc="7B887B64" w:tentative="1">
      <w:start w:val="1"/>
      <w:numFmt w:val="bullet"/>
      <w:lvlText w:val="•"/>
      <w:lvlJc w:val="left"/>
      <w:pPr>
        <w:tabs>
          <w:tab w:val="num" w:pos="5040"/>
        </w:tabs>
        <w:ind w:left="5040" w:hanging="360"/>
      </w:pPr>
      <w:rPr>
        <w:rFonts w:ascii="Times New Roman" w:hAnsi="Times New Roman" w:hint="default"/>
      </w:rPr>
    </w:lvl>
    <w:lvl w:ilvl="7" w:tplc="27EAACCA" w:tentative="1">
      <w:start w:val="1"/>
      <w:numFmt w:val="bullet"/>
      <w:lvlText w:val="•"/>
      <w:lvlJc w:val="left"/>
      <w:pPr>
        <w:tabs>
          <w:tab w:val="num" w:pos="5760"/>
        </w:tabs>
        <w:ind w:left="5760" w:hanging="360"/>
      </w:pPr>
      <w:rPr>
        <w:rFonts w:ascii="Times New Roman" w:hAnsi="Times New Roman" w:hint="default"/>
      </w:rPr>
    </w:lvl>
    <w:lvl w:ilvl="8" w:tplc="43488D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F15351B"/>
    <w:multiLevelType w:val="hybridMultilevel"/>
    <w:tmpl w:val="3862965C"/>
    <w:lvl w:ilvl="0" w:tplc="F7FAE508">
      <w:start w:val="1"/>
      <w:numFmt w:val="upperLetter"/>
      <w:pStyle w:val="Recital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7C13E3"/>
    <w:multiLevelType w:val="hybridMultilevel"/>
    <w:tmpl w:val="2A3A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25031"/>
    <w:multiLevelType w:val="hybridMultilevel"/>
    <w:tmpl w:val="18DAC750"/>
    <w:lvl w:ilvl="0" w:tplc="C38AFA5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66E47"/>
    <w:multiLevelType w:val="hybridMultilevel"/>
    <w:tmpl w:val="3A0EA1D2"/>
    <w:lvl w:ilvl="0" w:tplc="E4CCE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9C0846"/>
    <w:multiLevelType w:val="hybridMultilevel"/>
    <w:tmpl w:val="FA1A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C56BD6"/>
    <w:multiLevelType w:val="hybridMultilevel"/>
    <w:tmpl w:val="C7EE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8"/>
  </w:num>
  <w:num w:numId="5">
    <w:abstractNumId w:val="3"/>
  </w:num>
  <w:num w:numId="6">
    <w:abstractNumId w:val="23"/>
  </w:num>
  <w:num w:numId="7">
    <w:abstractNumId w:val="4"/>
  </w:num>
  <w:num w:numId="8">
    <w:abstractNumId w:val="13"/>
  </w:num>
  <w:num w:numId="9">
    <w:abstractNumId w:val="2"/>
  </w:num>
  <w:num w:numId="10">
    <w:abstractNumId w:val="22"/>
  </w:num>
  <w:num w:numId="11">
    <w:abstractNumId w:val="5"/>
  </w:num>
  <w:num w:numId="12">
    <w:abstractNumId w:val="10"/>
  </w:num>
  <w:num w:numId="13">
    <w:abstractNumId w:val="16"/>
  </w:num>
  <w:num w:numId="14">
    <w:abstractNumId w:val="11"/>
  </w:num>
  <w:num w:numId="15">
    <w:abstractNumId w:val="17"/>
  </w:num>
  <w:num w:numId="16">
    <w:abstractNumId w:val="24"/>
  </w:num>
  <w:num w:numId="17">
    <w:abstractNumId w:val="14"/>
  </w:num>
  <w:num w:numId="18">
    <w:abstractNumId w:val="21"/>
  </w:num>
  <w:num w:numId="19">
    <w:abstractNumId w:val="0"/>
  </w:num>
  <w:num w:numId="20">
    <w:abstractNumId w:val="20"/>
  </w:num>
  <w:num w:numId="21">
    <w:abstractNumId w:val="18"/>
  </w:num>
  <w:num w:numId="22">
    <w:abstractNumId w:val="9"/>
  </w:num>
  <w:num w:numId="23">
    <w:abstractNumId w:val="15"/>
  </w:num>
  <w:num w:numId="24">
    <w:abstractNumId w:val="12"/>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57"/>
    <w:rsid w:val="00000DD5"/>
    <w:rsid w:val="00010DB3"/>
    <w:rsid w:val="000120E6"/>
    <w:rsid w:val="000130EA"/>
    <w:rsid w:val="000139A9"/>
    <w:rsid w:val="0001538B"/>
    <w:rsid w:val="00015E7F"/>
    <w:rsid w:val="00020565"/>
    <w:rsid w:val="00020C5F"/>
    <w:rsid w:val="00023C0D"/>
    <w:rsid w:val="000243FF"/>
    <w:rsid w:val="00026A47"/>
    <w:rsid w:val="00035266"/>
    <w:rsid w:val="00037253"/>
    <w:rsid w:val="00037715"/>
    <w:rsid w:val="00041432"/>
    <w:rsid w:val="0004386D"/>
    <w:rsid w:val="000453C3"/>
    <w:rsid w:val="00047190"/>
    <w:rsid w:val="00047D5D"/>
    <w:rsid w:val="0005021F"/>
    <w:rsid w:val="00053A08"/>
    <w:rsid w:val="00054D54"/>
    <w:rsid w:val="000660B5"/>
    <w:rsid w:val="000709D9"/>
    <w:rsid w:val="00075C45"/>
    <w:rsid w:val="00080352"/>
    <w:rsid w:val="000827E0"/>
    <w:rsid w:val="0008647A"/>
    <w:rsid w:val="00087987"/>
    <w:rsid w:val="0009396C"/>
    <w:rsid w:val="0009604F"/>
    <w:rsid w:val="0009620F"/>
    <w:rsid w:val="000A1409"/>
    <w:rsid w:val="000A1654"/>
    <w:rsid w:val="000A5FF2"/>
    <w:rsid w:val="000C1502"/>
    <w:rsid w:val="000C35E2"/>
    <w:rsid w:val="000C50AC"/>
    <w:rsid w:val="000C6DBD"/>
    <w:rsid w:val="000D004C"/>
    <w:rsid w:val="000D0730"/>
    <w:rsid w:val="000D0DCC"/>
    <w:rsid w:val="000D17F2"/>
    <w:rsid w:val="000D627D"/>
    <w:rsid w:val="000D6516"/>
    <w:rsid w:val="000E09C8"/>
    <w:rsid w:val="000E2E71"/>
    <w:rsid w:val="000E3192"/>
    <w:rsid w:val="000F008C"/>
    <w:rsid w:val="000F1A81"/>
    <w:rsid w:val="000F2319"/>
    <w:rsid w:val="000F30BF"/>
    <w:rsid w:val="000F4300"/>
    <w:rsid w:val="000F4687"/>
    <w:rsid w:val="000F5F35"/>
    <w:rsid w:val="000F7991"/>
    <w:rsid w:val="000F7FF7"/>
    <w:rsid w:val="00115B40"/>
    <w:rsid w:val="001334A1"/>
    <w:rsid w:val="001352B8"/>
    <w:rsid w:val="00142999"/>
    <w:rsid w:val="001436DB"/>
    <w:rsid w:val="00145C68"/>
    <w:rsid w:val="00154FF8"/>
    <w:rsid w:val="001641A7"/>
    <w:rsid w:val="0016691A"/>
    <w:rsid w:val="00167C31"/>
    <w:rsid w:val="00167FD7"/>
    <w:rsid w:val="00171336"/>
    <w:rsid w:val="00174FDD"/>
    <w:rsid w:val="00180369"/>
    <w:rsid w:val="0018157E"/>
    <w:rsid w:val="001907D9"/>
    <w:rsid w:val="00193021"/>
    <w:rsid w:val="001930FC"/>
    <w:rsid w:val="00193887"/>
    <w:rsid w:val="00195AEA"/>
    <w:rsid w:val="001968FA"/>
    <w:rsid w:val="001A12D2"/>
    <w:rsid w:val="001A22CF"/>
    <w:rsid w:val="001B3ED5"/>
    <w:rsid w:val="001B7F2F"/>
    <w:rsid w:val="001C072D"/>
    <w:rsid w:val="001C2DA8"/>
    <w:rsid w:val="001C3AB0"/>
    <w:rsid w:val="001C5413"/>
    <w:rsid w:val="001D341A"/>
    <w:rsid w:val="001D4678"/>
    <w:rsid w:val="001D51F5"/>
    <w:rsid w:val="001E2FD1"/>
    <w:rsid w:val="001E4DA9"/>
    <w:rsid w:val="001F3EAB"/>
    <w:rsid w:val="001F66E9"/>
    <w:rsid w:val="0020249F"/>
    <w:rsid w:val="00203897"/>
    <w:rsid w:val="00203F34"/>
    <w:rsid w:val="002051EC"/>
    <w:rsid w:val="00210933"/>
    <w:rsid w:val="00214FD6"/>
    <w:rsid w:val="0022035F"/>
    <w:rsid w:val="00222216"/>
    <w:rsid w:val="00223645"/>
    <w:rsid w:val="002252ED"/>
    <w:rsid w:val="00232D27"/>
    <w:rsid w:val="00237E13"/>
    <w:rsid w:val="00240B31"/>
    <w:rsid w:val="00240E0A"/>
    <w:rsid w:val="00241E72"/>
    <w:rsid w:val="0024318B"/>
    <w:rsid w:val="00243A2F"/>
    <w:rsid w:val="0024705F"/>
    <w:rsid w:val="00247C4C"/>
    <w:rsid w:val="00251319"/>
    <w:rsid w:val="00252BC5"/>
    <w:rsid w:val="0025522F"/>
    <w:rsid w:val="002560B9"/>
    <w:rsid w:val="00261D82"/>
    <w:rsid w:val="002705DD"/>
    <w:rsid w:val="002715F1"/>
    <w:rsid w:val="002724E7"/>
    <w:rsid w:val="0027347D"/>
    <w:rsid w:val="00275353"/>
    <w:rsid w:val="00280BCC"/>
    <w:rsid w:val="002910B9"/>
    <w:rsid w:val="0029188E"/>
    <w:rsid w:val="00296591"/>
    <w:rsid w:val="002A1BBF"/>
    <w:rsid w:val="002A1C47"/>
    <w:rsid w:val="002A45B8"/>
    <w:rsid w:val="002A5295"/>
    <w:rsid w:val="002A5D46"/>
    <w:rsid w:val="002A5F0B"/>
    <w:rsid w:val="002A7DCC"/>
    <w:rsid w:val="002B59F0"/>
    <w:rsid w:val="002C3BD3"/>
    <w:rsid w:val="002C4ABF"/>
    <w:rsid w:val="002C5ECA"/>
    <w:rsid w:val="002C72FA"/>
    <w:rsid w:val="002D207E"/>
    <w:rsid w:val="002D6E23"/>
    <w:rsid w:val="002E0442"/>
    <w:rsid w:val="002E0BB7"/>
    <w:rsid w:val="002E75D4"/>
    <w:rsid w:val="002F30C7"/>
    <w:rsid w:val="002F316C"/>
    <w:rsid w:val="002F3DD3"/>
    <w:rsid w:val="002F439C"/>
    <w:rsid w:val="00315CDA"/>
    <w:rsid w:val="003162C0"/>
    <w:rsid w:val="0031795A"/>
    <w:rsid w:val="0032427C"/>
    <w:rsid w:val="00324921"/>
    <w:rsid w:val="003251C5"/>
    <w:rsid w:val="003311A5"/>
    <w:rsid w:val="003329AF"/>
    <w:rsid w:val="00334C3A"/>
    <w:rsid w:val="003524AC"/>
    <w:rsid w:val="00357517"/>
    <w:rsid w:val="00362709"/>
    <w:rsid w:val="0036382A"/>
    <w:rsid w:val="00363FC1"/>
    <w:rsid w:val="0036717D"/>
    <w:rsid w:val="003717A4"/>
    <w:rsid w:val="00374109"/>
    <w:rsid w:val="00374BBB"/>
    <w:rsid w:val="00374D6F"/>
    <w:rsid w:val="003773F9"/>
    <w:rsid w:val="003902E4"/>
    <w:rsid w:val="0039082F"/>
    <w:rsid w:val="003A06C7"/>
    <w:rsid w:val="003A0DD8"/>
    <w:rsid w:val="003A5B13"/>
    <w:rsid w:val="003B1A52"/>
    <w:rsid w:val="003B298B"/>
    <w:rsid w:val="003B2AC8"/>
    <w:rsid w:val="003C4B80"/>
    <w:rsid w:val="003C4C32"/>
    <w:rsid w:val="003C4DBA"/>
    <w:rsid w:val="003C7A7B"/>
    <w:rsid w:val="003D1D32"/>
    <w:rsid w:val="003D6322"/>
    <w:rsid w:val="003D7791"/>
    <w:rsid w:val="003D7C81"/>
    <w:rsid w:val="003E646A"/>
    <w:rsid w:val="003E7870"/>
    <w:rsid w:val="003F1F65"/>
    <w:rsid w:val="003F2F19"/>
    <w:rsid w:val="003F6A63"/>
    <w:rsid w:val="003F7842"/>
    <w:rsid w:val="00400148"/>
    <w:rsid w:val="00400C1D"/>
    <w:rsid w:val="00401254"/>
    <w:rsid w:val="00407E83"/>
    <w:rsid w:val="00411A3E"/>
    <w:rsid w:val="00415A11"/>
    <w:rsid w:val="00416263"/>
    <w:rsid w:val="004169E7"/>
    <w:rsid w:val="0041736D"/>
    <w:rsid w:val="00420932"/>
    <w:rsid w:val="00420C29"/>
    <w:rsid w:val="00422C65"/>
    <w:rsid w:val="0042634D"/>
    <w:rsid w:val="0042745F"/>
    <w:rsid w:val="004345D7"/>
    <w:rsid w:val="0043636D"/>
    <w:rsid w:val="00441361"/>
    <w:rsid w:val="00447038"/>
    <w:rsid w:val="00447C09"/>
    <w:rsid w:val="004516A9"/>
    <w:rsid w:val="00456232"/>
    <w:rsid w:val="00463A7E"/>
    <w:rsid w:val="00467A25"/>
    <w:rsid w:val="004714EE"/>
    <w:rsid w:val="00474CE0"/>
    <w:rsid w:val="00474EE2"/>
    <w:rsid w:val="00475EE7"/>
    <w:rsid w:val="00476F0C"/>
    <w:rsid w:val="004875F1"/>
    <w:rsid w:val="0049067C"/>
    <w:rsid w:val="00494F6C"/>
    <w:rsid w:val="004A267C"/>
    <w:rsid w:val="004A60D9"/>
    <w:rsid w:val="004B4EBF"/>
    <w:rsid w:val="004B75A3"/>
    <w:rsid w:val="004C3C8A"/>
    <w:rsid w:val="004C5AB8"/>
    <w:rsid w:val="004C7F1B"/>
    <w:rsid w:val="004D2FF3"/>
    <w:rsid w:val="004E2561"/>
    <w:rsid w:val="004E4EF2"/>
    <w:rsid w:val="004F2BEE"/>
    <w:rsid w:val="004F4437"/>
    <w:rsid w:val="004F7F5E"/>
    <w:rsid w:val="00500B65"/>
    <w:rsid w:val="005121F4"/>
    <w:rsid w:val="0051280D"/>
    <w:rsid w:val="005146AA"/>
    <w:rsid w:val="00514AD6"/>
    <w:rsid w:val="00515058"/>
    <w:rsid w:val="005150B9"/>
    <w:rsid w:val="00515D35"/>
    <w:rsid w:val="0052547E"/>
    <w:rsid w:val="00525940"/>
    <w:rsid w:val="00525DFF"/>
    <w:rsid w:val="005401CD"/>
    <w:rsid w:val="00547B17"/>
    <w:rsid w:val="00550077"/>
    <w:rsid w:val="00561C2E"/>
    <w:rsid w:val="00563D99"/>
    <w:rsid w:val="005645A9"/>
    <w:rsid w:val="00574D1C"/>
    <w:rsid w:val="00577A13"/>
    <w:rsid w:val="00581340"/>
    <w:rsid w:val="00581D31"/>
    <w:rsid w:val="0059099A"/>
    <w:rsid w:val="005A4359"/>
    <w:rsid w:val="005A52CA"/>
    <w:rsid w:val="005A647E"/>
    <w:rsid w:val="005B51C1"/>
    <w:rsid w:val="005B639E"/>
    <w:rsid w:val="005C10E5"/>
    <w:rsid w:val="005C38A9"/>
    <w:rsid w:val="005C3B74"/>
    <w:rsid w:val="005C7CBC"/>
    <w:rsid w:val="005D2973"/>
    <w:rsid w:val="005E3D7C"/>
    <w:rsid w:val="005E5894"/>
    <w:rsid w:val="005E7B66"/>
    <w:rsid w:val="005F68FA"/>
    <w:rsid w:val="006034CD"/>
    <w:rsid w:val="00604594"/>
    <w:rsid w:val="00610261"/>
    <w:rsid w:val="0061032E"/>
    <w:rsid w:val="006130B9"/>
    <w:rsid w:val="00615001"/>
    <w:rsid w:val="00622CA4"/>
    <w:rsid w:val="00630C93"/>
    <w:rsid w:val="00637343"/>
    <w:rsid w:val="00644DA6"/>
    <w:rsid w:val="00650C1F"/>
    <w:rsid w:val="0065349F"/>
    <w:rsid w:val="00656E67"/>
    <w:rsid w:val="00657154"/>
    <w:rsid w:val="0066197F"/>
    <w:rsid w:val="00663625"/>
    <w:rsid w:val="006677BE"/>
    <w:rsid w:val="00674758"/>
    <w:rsid w:val="00675963"/>
    <w:rsid w:val="00676698"/>
    <w:rsid w:val="0067794C"/>
    <w:rsid w:val="0068048D"/>
    <w:rsid w:val="00684F9D"/>
    <w:rsid w:val="006908C6"/>
    <w:rsid w:val="00690CC5"/>
    <w:rsid w:val="006922CB"/>
    <w:rsid w:val="0069369B"/>
    <w:rsid w:val="00695A89"/>
    <w:rsid w:val="006A14A8"/>
    <w:rsid w:val="006A310A"/>
    <w:rsid w:val="006A37DB"/>
    <w:rsid w:val="006A3D29"/>
    <w:rsid w:val="006A60CE"/>
    <w:rsid w:val="006A66AB"/>
    <w:rsid w:val="006B1C64"/>
    <w:rsid w:val="006B28C8"/>
    <w:rsid w:val="006C2532"/>
    <w:rsid w:val="006D0A62"/>
    <w:rsid w:val="006D13CB"/>
    <w:rsid w:val="006D72A8"/>
    <w:rsid w:val="006E18EE"/>
    <w:rsid w:val="006E2D37"/>
    <w:rsid w:val="006E2F4E"/>
    <w:rsid w:val="006E5F21"/>
    <w:rsid w:val="006F0D14"/>
    <w:rsid w:val="006F7006"/>
    <w:rsid w:val="00704529"/>
    <w:rsid w:val="0070668C"/>
    <w:rsid w:val="00706CCB"/>
    <w:rsid w:val="00711BE7"/>
    <w:rsid w:val="007161CC"/>
    <w:rsid w:val="00730848"/>
    <w:rsid w:val="00731A86"/>
    <w:rsid w:val="00732B43"/>
    <w:rsid w:val="0073642A"/>
    <w:rsid w:val="007406CB"/>
    <w:rsid w:val="00746AEE"/>
    <w:rsid w:val="007478AC"/>
    <w:rsid w:val="00751691"/>
    <w:rsid w:val="0075288D"/>
    <w:rsid w:val="00755D1A"/>
    <w:rsid w:val="00761267"/>
    <w:rsid w:val="00762A53"/>
    <w:rsid w:val="00770715"/>
    <w:rsid w:val="00770DB7"/>
    <w:rsid w:val="00772600"/>
    <w:rsid w:val="007809C4"/>
    <w:rsid w:val="00781099"/>
    <w:rsid w:val="00783B70"/>
    <w:rsid w:val="00785927"/>
    <w:rsid w:val="00786FB4"/>
    <w:rsid w:val="007907C6"/>
    <w:rsid w:val="007B0685"/>
    <w:rsid w:val="007B2B41"/>
    <w:rsid w:val="007C13F8"/>
    <w:rsid w:val="007C39A6"/>
    <w:rsid w:val="007D644F"/>
    <w:rsid w:val="007E02FD"/>
    <w:rsid w:val="007E0848"/>
    <w:rsid w:val="007E09E1"/>
    <w:rsid w:val="007E0DF7"/>
    <w:rsid w:val="007E1F5F"/>
    <w:rsid w:val="007E30AA"/>
    <w:rsid w:val="007F050D"/>
    <w:rsid w:val="007F6A4B"/>
    <w:rsid w:val="008011F5"/>
    <w:rsid w:val="008012A7"/>
    <w:rsid w:val="00803ACC"/>
    <w:rsid w:val="0080500C"/>
    <w:rsid w:val="00805896"/>
    <w:rsid w:val="00806185"/>
    <w:rsid w:val="0080699B"/>
    <w:rsid w:val="00811960"/>
    <w:rsid w:val="008142CC"/>
    <w:rsid w:val="0081512B"/>
    <w:rsid w:val="00815844"/>
    <w:rsid w:val="00816F0A"/>
    <w:rsid w:val="008216F5"/>
    <w:rsid w:val="008267AC"/>
    <w:rsid w:val="008307B6"/>
    <w:rsid w:val="00833B5D"/>
    <w:rsid w:val="00836A32"/>
    <w:rsid w:val="0084309D"/>
    <w:rsid w:val="0084329B"/>
    <w:rsid w:val="008437FA"/>
    <w:rsid w:val="00846060"/>
    <w:rsid w:val="008548DC"/>
    <w:rsid w:val="0086050A"/>
    <w:rsid w:val="00865054"/>
    <w:rsid w:val="008664A1"/>
    <w:rsid w:val="00867B8B"/>
    <w:rsid w:val="0087477E"/>
    <w:rsid w:val="00874C22"/>
    <w:rsid w:val="0087524D"/>
    <w:rsid w:val="00876431"/>
    <w:rsid w:val="00881F59"/>
    <w:rsid w:val="008A56E6"/>
    <w:rsid w:val="008A5FF2"/>
    <w:rsid w:val="008B1190"/>
    <w:rsid w:val="008B545F"/>
    <w:rsid w:val="008B74F7"/>
    <w:rsid w:val="008B75B9"/>
    <w:rsid w:val="008B77CB"/>
    <w:rsid w:val="008C1CC9"/>
    <w:rsid w:val="008C3FF5"/>
    <w:rsid w:val="008C40C9"/>
    <w:rsid w:val="008C7238"/>
    <w:rsid w:val="008D08D7"/>
    <w:rsid w:val="008D45ED"/>
    <w:rsid w:val="008E28CC"/>
    <w:rsid w:val="008E63AD"/>
    <w:rsid w:val="008E7E18"/>
    <w:rsid w:val="008F0C56"/>
    <w:rsid w:val="008F75E5"/>
    <w:rsid w:val="00902A91"/>
    <w:rsid w:val="00905783"/>
    <w:rsid w:val="00912A5F"/>
    <w:rsid w:val="009138F7"/>
    <w:rsid w:val="00913DB2"/>
    <w:rsid w:val="00924B7C"/>
    <w:rsid w:val="00925403"/>
    <w:rsid w:val="00927A50"/>
    <w:rsid w:val="00931496"/>
    <w:rsid w:val="0094090F"/>
    <w:rsid w:val="00940CA4"/>
    <w:rsid w:val="0094425E"/>
    <w:rsid w:val="00944CDB"/>
    <w:rsid w:val="00945178"/>
    <w:rsid w:val="00945786"/>
    <w:rsid w:val="009470BB"/>
    <w:rsid w:val="009505BF"/>
    <w:rsid w:val="009566C1"/>
    <w:rsid w:val="00962E04"/>
    <w:rsid w:val="00963429"/>
    <w:rsid w:val="0096617A"/>
    <w:rsid w:val="009662AB"/>
    <w:rsid w:val="00971BE8"/>
    <w:rsid w:val="0098131C"/>
    <w:rsid w:val="00983E0D"/>
    <w:rsid w:val="009840F6"/>
    <w:rsid w:val="00985609"/>
    <w:rsid w:val="00991B89"/>
    <w:rsid w:val="00991C5E"/>
    <w:rsid w:val="00992B2D"/>
    <w:rsid w:val="00996546"/>
    <w:rsid w:val="009B1A46"/>
    <w:rsid w:val="009B2A5B"/>
    <w:rsid w:val="009C0ACA"/>
    <w:rsid w:val="009C51B7"/>
    <w:rsid w:val="009C60E6"/>
    <w:rsid w:val="009C6956"/>
    <w:rsid w:val="009D130C"/>
    <w:rsid w:val="009D1C3C"/>
    <w:rsid w:val="009E1DA2"/>
    <w:rsid w:val="009E3CF7"/>
    <w:rsid w:val="009E63F6"/>
    <w:rsid w:val="009F0A10"/>
    <w:rsid w:val="009F1A58"/>
    <w:rsid w:val="009F231F"/>
    <w:rsid w:val="009F4A32"/>
    <w:rsid w:val="009F6D81"/>
    <w:rsid w:val="009F7DAB"/>
    <w:rsid w:val="00A0417A"/>
    <w:rsid w:val="00A058F6"/>
    <w:rsid w:val="00A123A1"/>
    <w:rsid w:val="00A12AFB"/>
    <w:rsid w:val="00A136E8"/>
    <w:rsid w:val="00A15F8E"/>
    <w:rsid w:val="00A17B2F"/>
    <w:rsid w:val="00A20ADD"/>
    <w:rsid w:val="00A32B09"/>
    <w:rsid w:val="00A349DA"/>
    <w:rsid w:val="00A364C4"/>
    <w:rsid w:val="00A3678B"/>
    <w:rsid w:val="00A3724E"/>
    <w:rsid w:val="00A40A0B"/>
    <w:rsid w:val="00A40E75"/>
    <w:rsid w:val="00A4131A"/>
    <w:rsid w:val="00A4333D"/>
    <w:rsid w:val="00A43EF9"/>
    <w:rsid w:val="00A45E64"/>
    <w:rsid w:val="00A50136"/>
    <w:rsid w:val="00A504AE"/>
    <w:rsid w:val="00A57747"/>
    <w:rsid w:val="00A60A54"/>
    <w:rsid w:val="00A6455C"/>
    <w:rsid w:val="00A672C7"/>
    <w:rsid w:val="00A6787D"/>
    <w:rsid w:val="00A67F03"/>
    <w:rsid w:val="00A72E5B"/>
    <w:rsid w:val="00A80369"/>
    <w:rsid w:val="00A804E3"/>
    <w:rsid w:val="00A82717"/>
    <w:rsid w:val="00A83317"/>
    <w:rsid w:val="00A92030"/>
    <w:rsid w:val="00A96B3F"/>
    <w:rsid w:val="00AB1FFD"/>
    <w:rsid w:val="00AB374A"/>
    <w:rsid w:val="00AB4613"/>
    <w:rsid w:val="00AB463D"/>
    <w:rsid w:val="00AB52C5"/>
    <w:rsid w:val="00AC0410"/>
    <w:rsid w:val="00AC0C5A"/>
    <w:rsid w:val="00AC45B0"/>
    <w:rsid w:val="00AC7A9D"/>
    <w:rsid w:val="00AD77A5"/>
    <w:rsid w:val="00AD7F91"/>
    <w:rsid w:val="00AE27ED"/>
    <w:rsid w:val="00AE481F"/>
    <w:rsid w:val="00AE48DB"/>
    <w:rsid w:val="00AF15F8"/>
    <w:rsid w:val="00AF2133"/>
    <w:rsid w:val="00B031AE"/>
    <w:rsid w:val="00B053D7"/>
    <w:rsid w:val="00B0544D"/>
    <w:rsid w:val="00B139F5"/>
    <w:rsid w:val="00B14E68"/>
    <w:rsid w:val="00B15505"/>
    <w:rsid w:val="00B16373"/>
    <w:rsid w:val="00B16597"/>
    <w:rsid w:val="00B23511"/>
    <w:rsid w:val="00B35153"/>
    <w:rsid w:val="00B36732"/>
    <w:rsid w:val="00B42383"/>
    <w:rsid w:val="00B45A61"/>
    <w:rsid w:val="00B45AD3"/>
    <w:rsid w:val="00B4721A"/>
    <w:rsid w:val="00B5213F"/>
    <w:rsid w:val="00B54B21"/>
    <w:rsid w:val="00B5525E"/>
    <w:rsid w:val="00B5647B"/>
    <w:rsid w:val="00B6689D"/>
    <w:rsid w:val="00B71263"/>
    <w:rsid w:val="00B7128D"/>
    <w:rsid w:val="00B72B01"/>
    <w:rsid w:val="00B72C6A"/>
    <w:rsid w:val="00B73D24"/>
    <w:rsid w:val="00B75A49"/>
    <w:rsid w:val="00B7738F"/>
    <w:rsid w:val="00B77863"/>
    <w:rsid w:val="00BA1888"/>
    <w:rsid w:val="00BA4CA9"/>
    <w:rsid w:val="00BA7F9B"/>
    <w:rsid w:val="00BB0C27"/>
    <w:rsid w:val="00BB563F"/>
    <w:rsid w:val="00BB610D"/>
    <w:rsid w:val="00BC2571"/>
    <w:rsid w:val="00BC3D57"/>
    <w:rsid w:val="00BC5C32"/>
    <w:rsid w:val="00BC613A"/>
    <w:rsid w:val="00BC7714"/>
    <w:rsid w:val="00BD1BF8"/>
    <w:rsid w:val="00BD6D1E"/>
    <w:rsid w:val="00BE19C0"/>
    <w:rsid w:val="00BF0134"/>
    <w:rsid w:val="00BF15B0"/>
    <w:rsid w:val="00BF552F"/>
    <w:rsid w:val="00BF5B74"/>
    <w:rsid w:val="00BF5E0D"/>
    <w:rsid w:val="00C01928"/>
    <w:rsid w:val="00C01C43"/>
    <w:rsid w:val="00C029C9"/>
    <w:rsid w:val="00C034EC"/>
    <w:rsid w:val="00C061FF"/>
    <w:rsid w:val="00C1248C"/>
    <w:rsid w:val="00C12B0A"/>
    <w:rsid w:val="00C14082"/>
    <w:rsid w:val="00C152F4"/>
    <w:rsid w:val="00C17C3D"/>
    <w:rsid w:val="00C2156C"/>
    <w:rsid w:val="00C2202B"/>
    <w:rsid w:val="00C23146"/>
    <w:rsid w:val="00C36D32"/>
    <w:rsid w:val="00C41ADF"/>
    <w:rsid w:val="00C4511A"/>
    <w:rsid w:val="00C452BB"/>
    <w:rsid w:val="00C47C9B"/>
    <w:rsid w:val="00C508C3"/>
    <w:rsid w:val="00C508CF"/>
    <w:rsid w:val="00C5100A"/>
    <w:rsid w:val="00C57CE1"/>
    <w:rsid w:val="00C62B3A"/>
    <w:rsid w:val="00C63F12"/>
    <w:rsid w:val="00C647C0"/>
    <w:rsid w:val="00C65EE9"/>
    <w:rsid w:val="00C67E9D"/>
    <w:rsid w:val="00C7105E"/>
    <w:rsid w:val="00C77783"/>
    <w:rsid w:val="00C851D5"/>
    <w:rsid w:val="00C85CA5"/>
    <w:rsid w:val="00C948DF"/>
    <w:rsid w:val="00CA3B77"/>
    <w:rsid w:val="00CA449F"/>
    <w:rsid w:val="00CA5AC5"/>
    <w:rsid w:val="00CB1EB3"/>
    <w:rsid w:val="00CB34B9"/>
    <w:rsid w:val="00CB561B"/>
    <w:rsid w:val="00CB7049"/>
    <w:rsid w:val="00CB73AD"/>
    <w:rsid w:val="00CC49AD"/>
    <w:rsid w:val="00CC69AE"/>
    <w:rsid w:val="00CD0E8D"/>
    <w:rsid w:val="00CD3CD6"/>
    <w:rsid w:val="00CD4C1F"/>
    <w:rsid w:val="00CE48E2"/>
    <w:rsid w:val="00CE60D5"/>
    <w:rsid w:val="00CF08AF"/>
    <w:rsid w:val="00CF68A0"/>
    <w:rsid w:val="00D02097"/>
    <w:rsid w:val="00D0375E"/>
    <w:rsid w:val="00D049AB"/>
    <w:rsid w:val="00D058BB"/>
    <w:rsid w:val="00D06CAF"/>
    <w:rsid w:val="00D078E0"/>
    <w:rsid w:val="00D119EF"/>
    <w:rsid w:val="00D16742"/>
    <w:rsid w:val="00D2265B"/>
    <w:rsid w:val="00D24F46"/>
    <w:rsid w:val="00D2510E"/>
    <w:rsid w:val="00D26019"/>
    <w:rsid w:val="00D26A68"/>
    <w:rsid w:val="00D33F52"/>
    <w:rsid w:val="00D341DC"/>
    <w:rsid w:val="00D35554"/>
    <w:rsid w:val="00D35626"/>
    <w:rsid w:val="00D35E7A"/>
    <w:rsid w:val="00D41F50"/>
    <w:rsid w:val="00D4402A"/>
    <w:rsid w:val="00D51A20"/>
    <w:rsid w:val="00D54DF3"/>
    <w:rsid w:val="00D55957"/>
    <w:rsid w:val="00D61F19"/>
    <w:rsid w:val="00D81DD2"/>
    <w:rsid w:val="00D86081"/>
    <w:rsid w:val="00D86BFB"/>
    <w:rsid w:val="00D90FA3"/>
    <w:rsid w:val="00D91202"/>
    <w:rsid w:val="00D92868"/>
    <w:rsid w:val="00D9715A"/>
    <w:rsid w:val="00D979BD"/>
    <w:rsid w:val="00D97E69"/>
    <w:rsid w:val="00DA0B83"/>
    <w:rsid w:val="00DA14BA"/>
    <w:rsid w:val="00DA1905"/>
    <w:rsid w:val="00DA6266"/>
    <w:rsid w:val="00DB58D0"/>
    <w:rsid w:val="00DC5413"/>
    <w:rsid w:val="00DD2751"/>
    <w:rsid w:val="00DD2CB0"/>
    <w:rsid w:val="00DD2CDE"/>
    <w:rsid w:val="00DD3929"/>
    <w:rsid w:val="00DD3A6F"/>
    <w:rsid w:val="00DD6A31"/>
    <w:rsid w:val="00DE06F7"/>
    <w:rsid w:val="00DE24E5"/>
    <w:rsid w:val="00DE6C2C"/>
    <w:rsid w:val="00DF0A93"/>
    <w:rsid w:val="00DF11AD"/>
    <w:rsid w:val="00DF1FFD"/>
    <w:rsid w:val="00DF3D5F"/>
    <w:rsid w:val="00DF5ABE"/>
    <w:rsid w:val="00E00690"/>
    <w:rsid w:val="00E01DBD"/>
    <w:rsid w:val="00E02EF2"/>
    <w:rsid w:val="00E078FA"/>
    <w:rsid w:val="00E07AD6"/>
    <w:rsid w:val="00E07D6D"/>
    <w:rsid w:val="00E11165"/>
    <w:rsid w:val="00E11470"/>
    <w:rsid w:val="00E14C04"/>
    <w:rsid w:val="00E17DF0"/>
    <w:rsid w:val="00E27B08"/>
    <w:rsid w:val="00E3061C"/>
    <w:rsid w:val="00E324E1"/>
    <w:rsid w:val="00E3316F"/>
    <w:rsid w:val="00E33798"/>
    <w:rsid w:val="00E35618"/>
    <w:rsid w:val="00E40C8E"/>
    <w:rsid w:val="00E550E9"/>
    <w:rsid w:val="00E556CA"/>
    <w:rsid w:val="00E61362"/>
    <w:rsid w:val="00E62DC3"/>
    <w:rsid w:val="00E71196"/>
    <w:rsid w:val="00E7797A"/>
    <w:rsid w:val="00E8269E"/>
    <w:rsid w:val="00E8279C"/>
    <w:rsid w:val="00E865DE"/>
    <w:rsid w:val="00E86641"/>
    <w:rsid w:val="00E87329"/>
    <w:rsid w:val="00E91CB9"/>
    <w:rsid w:val="00E91F12"/>
    <w:rsid w:val="00E954C6"/>
    <w:rsid w:val="00E9619E"/>
    <w:rsid w:val="00EA4693"/>
    <w:rsid w:val="00EA7A70"/>
    <w:rsid w:val="00EB1343"/>
    <w:rsid w:val="00EB3359"/>
    <w:rsid w:val="00EB3659"/>
    <w:rsid w:val="00EC1A37"/>
    <w:rsid w:val="00EC1DA0"/>
    <w:rsid w:val="00EC1E4A"/>
    <w:rsid w:val="00EC2134"/>
    <w:rsid w:val="00EC4196"/>
    <w:rsid w:val="00EC5695"/>
    <w:rsid w:val="00EC6199"/>
    <w:rsid w:val="00EC7820"/>
    <w:rsid w:val="00ED4519"/>
    <w:rsid w:val="00ED5479"/>
    <w:rsid w:val="00EE0A1D"/>
    <w:rsid w:val="00EE6EB4"/>
    <w:rsid w:val="00EF071C"/>
    <w:rsid w:val="00EF3AED"/>
    <w:rsid w:val="00EF4BC9"/>
    <w:rsid w:val="00F11BD9"/>
    <w:rsid w:val="00F13DE4"/>
    <w:rsid w:val="00F142CD"/>
    <w:rsid w:val="00F14A85"/>
    <w:rsid w:val="00F162B9"/>
    <w:rsid w:val="00F17E83"/>
    <w:rsid w:val="00F23C50"/>
    <w:rsid w:val="00F25F96"/>
    <w:rsid w:val="00F374BB"/>
    <w:rsid w:val="00F3756B"/>
    <w:rsid w:val="00F447DA"/>
    <w:rsid w:val="00F47A8F"/>
    <w:rsid w:val="00F47F23"/>
    <w:rsid w:val="00F553D1"/>
    <w:rsid w:val="00F626B0"/>
    <w:rsid w:val="00F62EB3"/>
    <w:rsid w:val="00F7149C"/>
    <w:rsid w:val="00F77893"/>
    <w:rsid w:val="00F77C42"/>
    <w:rsid w:val="00F80BC7"/>
    <w:rsid w:val="00F810A6"/>
    <w:rsid w:val="00F83BF0"/>
    <w:rsid w:val="00F83BFC"/>
    <w:rsid w:val="00F84FA4"/>
    <w:rsid w:val="00F8662E"/>
    <w:rsid w:val="00F87797"/>
    <w:rsid w:val="00F9389C"/>
    <w:rsid w:val="00F96CC4"/>
    <w:rsid w:val="00FA2F5C"/>
    <w:rsid w:val="00FA358A"/>
    <w:rsid w:val="00FA4168"/>
    <w:rsid w:val="00FA640E"/>
    <w:rsid w:val="00FA6498"/>
    <w:rsid w:val="00FA7262"/>
    <w:rsid w:val="00FB0FF5"/>
    <w:rsid w:val="00FB1B8F"/>
    <w:rsid w:val="00FB2FA5"/>
    <w:rsid w:val="00FB3647"/>
    <w:rsid w:val="00FB50E6"/>
    <w:rsid w:val="00FB692D"/>
    <w:rsid w:val="00FC2663"/>
    <w:rsid w:val="00FC28B3"/>
    <w:rsid w:val="00FC4356"/>
    <w:rsid w:val="00FD00A2"/>
    <w:rsid w:val="00FD076F"/>
    <w:rsid w:val="00FD1447"/>
    <w:rsid w:val="00FD223A"/>
    <w:rsid w:val="00FD3677"/>
    <w:rsid w:val="00FE65E6"/>
    <w:rsid w:val="00FF5D05"/>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D1731"/>
  <w15:docId w15:val="{DEF2D0C9-25BC-4554-86CF-EF604993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2F"/>
  </w:style>
  <w:style w:type="paragraph" w:styleId="Heading1">
    <w:name w:val="heading 1"/>
    <w:basedOn w:val="Normal"/>
    <w:next w:val="Normal"/>
    <w:link w:val="Heading1Char"/>
    <w:uiPriority w:val="9"/>
    <w:qFormat/>
    <w:rsid w:val="00BF15B0"/>
    <w:pPr>
      <w:keepNext/>
      <w:keepLines/>
      <w:spacing w:after="120" w:line="240" w:lineRule="auto"/>
      <w:outlineLvl w:val="0"/>
    </w:pPr>
    <w:rPr>
      <w:rFonts w:ascii="Calibri" w:eastAsiaTheme="majorEastAsia" w:hAnsi="Calibri" w:cstheme="majorBidi"/>
      <w:b/>
      <w:bCs/>
      <w:color w:val="0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E0"/>
  </w:style>
  <w:style w:type="paragraph" w:styleId="Footer">
    <w:name w:val="footer"/>
    <w:basedOn w:val="Normal"/>
    <w:link w:val="FooterChar"/>
    <w:uiPriority w:val="99"/>
    <w:unhideWhenUsed/>
    <w:rsid w:val="00474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E0"/>
  </w:style>
  <w:style w:type="character" w:customStyle="1" w:styleId="Heading1Char">
    <w:name w:val="Heading 1 Char"/>
    <w:basedOn w:val="DefaultParagraphFont"/>
    <w:link w:val="Heading1"/>
    <w:uiPriority w:val="9"/>
    <w:rsid w:val="00BF15B0"/>
    <w:rPr>
      <w:rFonts w:ascii="Calibri" w:eastAsiaTheme="majorEastAsia" w:hAnsi="Calibri" w:cstheme="majorBidi"/>
      <w:b/>
      <w:bCs/>
      <w:color w:val="008080"/>
      <w:sz w:val="28"/>
      <w:szCs w:val="28"/>
    </w:rPr>
  </w:style>
  <w:style w:type="paragraph" w:styleId="ListParagraph">
    <w:name w:val="List Paragraph"/>
    <w:aliases w:val="F5 List Paragraph,Indent Paragraph,Citation List,CA bullets,Dot pt,List Paragraph1,No Spacing1,List Paragraph Char Char Char,Indicator Text,Numbered Para 1,Colorful List - Accent 11,Bullet Points,Párrafo de lista,MAIN CONTENT,b1,Number_1"/>
    <w:basedOn w:val="Normal"/>
    <w:link w:val="ListParagraphChar"/>
    <w:uiPriority w:val="34"/>
    <w:qFormat/>
    <w:rsid w:val="00E11165"/>
    <w:pPr>
      <w:ind w:left="720"/>
      <w:contextualSpacing/>
    </w:pPr>
    <w:rPr>
      <w:rFonts w:asciiTheme="minorHAnsi" w:hAnsiTheme="minorHAnsi"/>
      <w:sz w:val="22"/>
    </w:rPr>
  </w:style>
  <w:style w:type="paragraph" w:customStyle="1" w:styleId="Default">
    <w:name w:val="Default"/>
    <w:rsid w:val="00E11165"/>
    <w:pPr>
      <w:autoSpaceDE w:val="0"/>
      <w:autoSpaceDN w:val="0"/>
      <w:adjustRightInd w:val="0"/>
      <w:spacing w:after="0" w:line="240" w:lineRule="auto"/>
    </w:pPr>
    <w:rPr>
      <w:rFonts w:ascii="DIN Condensed" w:hAnsi="DIN Condensed" w:cs="DIN Condensed"/>
      <w:color w:val="000000"/>
      <w:sz w:val="24"/>
      <w:szCs w:val="24"/>
    </w:rPr>
  </w:style>
  <w:style w:type="paragraph" w:styleId="BalloonText">
    <w:name w:val="Balloon Text"/>
    <w:basedOn w:val="Normal"/>
    <w:link w:val="BalloonTextChar"/>
    <w:uiPriority w:val="99"/>
    <w:semiHidden/>
    <w:unhideWhenUsed/>
    <w:rsid w:val="00B1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68"/>
    <w:rPr>
      <w:rFonts w:ascii="Tahoma" w:hAnsi="Tahoma" w:cs="Tahoma"/>
      <w:sz w:val="16"/>
      <w:szCs w:val="16"/>
    </w:rPr>
  </w:style>
  <w:style w:type="character" w:customStyle="1" w:styleId="ListParagraphChar">
    <w:name w:val="List Paragraph Char"/>
    <w:aliases w:val="F5 List Paragraph Char,Indent Paragraph Char,Citation List Char,CA bullets Char,Dot pt Char,List Paragraph1 Char,No Spacing1 Char,List Paragraph Char Char Char Char,Indicator Text Char,Numbered Para 1 Char,Bullet Points Char,b1 Char"/>
    <w:link w:val="ListParagraph"/>
    <w:uiPriority w:val="34"/>
    <w:qFormat/>
    <w:locked/>
    <w:rsid w:val="009C6956"/>
    <w:rPr>
      <w:rFonts w:asciiTheme="minorHAnsi" w:hAnsiTheme="minorHAnsi"/>
      <w:sz w:val="22"/>
    </w:rPr>
  </w:style>
  <w:style w:type="paragraph" w:customStyle="1" w:styleId="Body">
    <w:name w:val="Body"/>
    <w:basedOn w:val="Normal"/>
    <w:rsid w:val="005A647E"/>
    <w:pPr>
      <w:spacing w:after="0" w:line="240" w:lineRule="auto"/>
    </w:pPr>
    <w:rPr>
      <w:rFonts w:ascii="Calibri" w:hAnsi="Calibri" w:cs="Times New Roman"/>
      <w:color w:val="000000"/>
      <w:sz w:val="22"/>
      <w:lang w:eastAsia="en-GB"/>
    </w:rPr>
  </w:style>
  <w:style w:type="character" w:styleId="CommentReference">
    <w:name w:val="annotation reference"/>
    <w:basedOn w:val="DefaultParagraphFont"/>
    <w:uiPriority w:val="1"/>
    <w:unhideWhenUsed/>
    <w:rsid w:val="001E2FD1"/>
    <w:rPr>
      <w:sz w:val="16"/>
      <w:szCs w:val="16"/>
    </w:rPr>
  </w:style>
  <w:style w:type="paragraph" w:styleId="CommentText">
    <w:name w:val="annotation text"/>
    <w:basedOn w:val="Normal"/>
    <w:link w:val="CommentTextChar"/>
    <w:uiPriority w:val="1"/>
    <w:unhideWhenUsed/>
    <w:rsid w:val="001E2FD1"/>
    <w:pPr>
      <w:spacing w:line="240" w:lineRule="auto"/>
    </w:pPr>
    <w:rPr>
      <w:szCs w:val="20"/>
    </w:rPr>
  </w:style>
  <w:style w:type="character" w:customStyle="1" w:styleId="CommentTextChar">
    <w:name w:val="Comment Text Char"/>
    <w:basedOn w:val="DefaultParagraphFont"/>
    <w:link w:val="CommentText"/>
    <w:uiPriority w:val="1"/>
    <w:rsid w:val="001E2FD1"/>
    <w:rPr>
      <w:szCs w:val="20"/>
    </w:rPr>
  </w:style>
  <w:style w:type="paragraph" w:styleId="CommentSubject">
    <w:name w:val="annotation subject"/>
    <w:basedOn w:val="CommentText"/>
    <w:next w:val="CommentText"/>
    <w:link w:val="CommentSubjectChar"/>
    <w:uiPriority w:val="99"/>
    <w:semiHidden/>
    <w:unhideWhenUsed/>
    <w:rsid w:val="001E2FD1"/>
    <w:rPr>
      <w:b/>
      <w:bCs/>
    </w:rPr>
  </w:style>
  <w:style w:type="character" w:customStyle="1" w:styleId="CommentSubjectChar">
    <w:name w:val="Comment Subject Char"/>
    <w:basedOn w:val="CommentTextChar"/>
    <w:link w:val="CommentSubject"/>
    <w:uiPriority w:val="99"/>
    <w:semiHidden/>
    <w:rsid w:val="001E2FD1"/>
    <w:rPr>
      <w:b/>
      <w:bCs/>
      <w:szCs w:val="20"/>
    </w:rPr>
  </w:style>
  <w:style w:type="paragraph" w:customStyle="1" w:styleId="Bodytext7">
    <w:name w:val="Body text 7"/>
    <w:basedOn w:val="BodyText"/>
    <w:rsid w:val="004A60D9"/>
    <w:pPr>
      <w:spacing w:after="240" w:line="240" w:lineRule="auto"/>
      <w:ind w:left="4247"/>
      <w:jc w:val="both"/>
    </w:pPr>
    <w:rPr>
      <w:rFonts w:eastAsia="Times New Roman" w:cs="Times New Roman"/>
      <w:sz w:val="22"/>
      <w:szCs w:val="24"/>
    </w:rPr>
  </w:style>
  <w:style w:type="paragraph" w:customStyle="1" w:styleId="Recitals">
    <w:name w:val="Recitals"/>
    <w:basedOn w:val="BodyText"/>
    <w:rsid w:val="004A60D9"/>
    <w:pPr>
      <w:numPr>
        <w:numId w:val="1"/>
      </w:numPr>
      <w:tabs>
        <w:tab w:val="clear" w:pos="706"/>
      </w:tabs>
      <w:spacing w:after="240" w:line="240" w:lineRule="auto"/>
      <w:ind w:left="720" w:hanging="360"/>
      <w:jc w:val="both"/>
    </w:pPr>
    <w:rPr>
      <w:rFonts w:eastAsia="Times New Roman" w:cs="Times New Roman"/>
      <w:sz w:val="22"/>
      <w:szCs w:val="24"/>
    </w:rPr>
  </w:style>
  <w:style w:type="paragraph" w:styleId="BodyText">
    <w:name w:val="Body Text"/>
    <w:basedOn w:val="Normal"/>
    <w:link w:val="BodyTextChar"/>
    <w:uiPriority w:val="99"/>
    <w:semiHidden/>
    <w:unhideWhenUsed/>
    <w:rsid w:val="004A60D9"/>
    <w:pPr>
      <w:spacing w:after="120"/>
    </w:pPr>
  </w:style>
  <w:style w:type="character" w:customStyle="1" w:styleId="BodyTextChar">
    <w:name w:val="Body Text Char"/>
    <w:basedOn w:val="DefaultParagraphFont"/>
    <w:link w:val="BodyText"/>
    <w:uiPriority w:val="99"/>
    <w:semiHidden/>
    <w:rsid w:val="004A60D9"/>
  </w:style>
  <w:style w:type="character" w:styleId="PlaceholderText">
    <w:name w:val="Placeholder Text"/>
    <w:basedOn w:val="DefaultParagraphFont"/>
    <w:uiPriority w:val="99"/>
    <w:semiHidden/>
    <w:rsid w:val="00F626B0"/>
    <w:rPr>
      <w:color w:val="808080"/>
    </w:rPr>
  </w:style>
  <w:style w:type="paragraph" w:styleId="Revision">
    <w:name w:val="Revision"/>
    <w:hidden/>
    <w:uiPriority w:val="99"/>
    <w:semiHidden/>
    <w:rsid w:val="00214FD6"/>
    <w:pPr>
      <w:spacing w:after="0" w:line="240" w:lineRule="auto"/>
    </w:pPr>
  </w:style>
  <w:style w:type="paragraph" w:styleId="FootnoteText">
    <w:name w:val="footnote text"/>
    <w:basedOn w:val="Normal"/>
    <w:link w:val="FootnoteTextChar"/>
    <w:uiPriority w:val="99"/>
    <w:rsid w:val="00D0375E"/>
    <w:pPr>
      <w:overflowPunct w:val="0"/>
      <w:autoSpaceDE w:val="0"/>
      <w:autoSpaceDN w:val="0"/>
      <w:adjustRightInd w:val="0"/>
      <w:spacing w:after="0" w:line="240" w:lineRule="auto"/>
      <w:textAlignment w:val="baseline"/>
    </w:pPr>
    <w:rPr>
      <w:rFonts w:eastAsia="Calibri" w:cs="Times New Roman"/>
      <w:szCs w:val="20"/>
      <w:lang w:eastAsia="en-GB"/>
    </w:rPr>
  </w:style>
  <w:style w:type="character" w:customStyle="1" w:styleId="FootnoteTextChar">
    <w:name w:val="Footnote Text Char"/>
    <w:basedOn w:val="DefaultParagraphFont"/>
    <w:link w:val="FootnoteText"/>
    <w:uiPriority w:val="99"/>
    <w:rsid w:val="00D0375E"/>
    <w:rPr>
      <w:rFonts w:eastAsia="Calibri" w:cs="Times New Roman"/>
      <w:szCs w:val="20"/>
      <w:lang w:eastAsia="en-GB"/>
    </w:rPr>
  </w:style>
  <w:style w:type="character" w:styleId="FootnoteReference">
    <w:name w:val="footnote reference"/>
    <w:basedOn w:val="DefaultParagraphFont"/>
    <w:uiPriority w:val="99"/>
    <w:rsid w:val="00D0375E"/>
    <w:rPr>
      <w:rFonts w:cs="Times New Roman"/>
      <w:vertAlign w:val="superscript"/>
    </w:rPr>
  </w:style>
  <w:style w:type="character" w:styleId="Hyperlink">
    <w:name w:val="Hyperlink"/>
    <w:basedOn w:val="DefaultParagraphFont"/>
    <w:uiPriority w:val="99"/>
    <w:unhideWhenUsed/>
    <w:rsid w:val="00275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4368">
      <w:bodyDiv w:val="1"/>
      <w:marLeft w:val="0"/>
      <w:marRight w:val="0"/>
      <w:marTop w:val="0"/>
      <w:marBottom w:val="0"/>
      <w:divBdr>
        <w:top w:val="none" w:sz="0" w:space="0" w:color="auto"/>
        <w:left w:val="none" w:sz="0" w:space="0" w:color="auto"/>
        <w:bottom w:val="none" w:sz="0" w:space="0" w:color="auto"/>
        <w:right w:val="none" w:sz="0" w:space="0" w:color="auto"/>
      </w:divBdr>
    </w:div>
    <w:div w:id="160894732">
      <w:bodyDiv w:val="1"/>
      <w:marLeft w:val="0"/>
      <w:marRight w:val="0"/>
      <w:marTop w:val="0"/>
      <w:marBottom w:val="0"/>
      <w:divBdr>
        <w:top w:val="none" w:sz="0" w:space="0" w:color="auto"/>
        <w:left w:val="none" w:sz="0" w:space="0" w:color="auto"/>
        <w:bottom w:val="none" w:sz="0" w:space="0" w:color="auto"/>
        <w:right w:val="none" w:sz="0" w:space="0" w:color="auto"/>
      </w:divBdr>
    </w:div>
    <w:div w:id="203636053">
      <w:bodyDiv w:val="1"/>
      <w:marLeft w:val="0"/>
      <w:marRight w:val="0"/>
      <w:marTop w:val="0"/>
      <w:marBottom w:val="0"/>
      <w:divBdr>
        <w:top w:val="none" w:sz="0" w:space="0" w:color="auto"/>
        <w:left w:val="none" w:sz="0" w:space="0" w:color="auto"/>
        <w:bottom w:val="none" w:sz="0" w:space="0" w:color="auto"/>
        <w:right w:val="none" w:sz="0" w:space="0" w:color="auto"/>
      </w:divBdr>
    </w:div>
    <w:div w:id="409544258">
      <w:bodyDiv w:val="1"/>
      <w:marLeft w:val="0"/>
      <w:marRight w:val="0"/>
      <w:marTop w:val="0"/>
      <w:marBottom w:val="0"/>
      <w:divBdr>
        <w:top w:val="none" w:sz="0" w:space="0" w:color="auto"/>
        <w:left w:val="none" w:sz="0" w:space="0" w:color="auto"/>
        <w:bottom w:val="none" w:sz="0" w:space="0" w:color="auto"/>
        <w:right w:val="none" w:sz="0" w:space="0" w:color="auto"/>
      </w:divBdr>
    </w:div>
    <w:div w:id="718817933">
      <w:bodyDiv w:val="1"/>
      <w:marLeft w:val="0"/>
      <w:marRight w:val="0"/>
      <w:marTop w:val="0"/>
      <w:marBottom w:val="0"/>
      <w:divBdr>
        <w:top w:val="none" w:sz="0" w:space="0" w:color="auto"/>
        <w:left w:val="none" w:sz="0" w:space="0" w:color="auto"/>
        <w:bottom w:val="none" w:sz="0" w:space="0" w:color="auto"/>
        <w:right w:val="none" w:sz="0" w:space="0" w:color="auto"/>
      </w:divBdr>
    </w:div>
    <w:div w:id="1054541493">
      <w:bodyDiv w:val="1"/>
      <w:marLeft w:val="0"/>
      <w:marRight w:val="0"/>
      <w:marTop w:val="0"/>
      <w:marBottom w:val="0"/>
      <w:divBdr>
        <w:top w:val="none" w:sz="0" w:space="0" w:color="auto"/>
        <w:left w:val="none" w:sz="0" w:space="0" w:color="auto"/>
        <w:bottom w:val="none" w:sz="0" w:space="0" w:color="auto"/>
        <w:right w:val="none" w:sz="0" w:space="0" w:color="auto"/>
      </w:divBdr>
    </w:div>
    <w:div w:id="1117871329">
      <w:bodyDiv w:val="1"/>
      <w:marLeft w:val="0"/>
      <w:marRight w:val="0"/>
      <w:marTop w:val="0"/>
      <w:marBottom w:val="0"/>
      <w:divBdr>
        <w:top w:val="none" w:sz="0" w:space="0" w:color="auto"/>
        <w:left w:val="none" w:sz="0" w:space="0" w:color="auto"/>
        <w:bottom w:val="none" w:sz="0" w:space="0" w:color="auto"/>
        <w:right w:val="none" w:sz="0" w:space="0" w:color="auto"/>
      </w:divBdr>
    </w:div>
    <w:div w:id="1143618440">
      <w:bodyDiv w:val="1"/>
      <w:marLeft w:val="0"/>
      <w:marRight w:val="0"/>
      <w:marTop w:val="0"/>
      <w:marBottom w:val="0"/>
      <w:divBdr>
        <w:top w:val="none" w:sz="0" w:space="0" w:color="auto"/>
        <w:left w:val="none" w:sz="0" w:space="0" w:color="auto"/>
        <w:bottom w:val="none" w:sz="0" w:space="0" w:color="auto"/>
        <w:right w:val="none" w:sz="0" w:space="0" w:color="auto"/>
      </w:divBdr>
    </w:div>
    <w:div w:id="1216116576">
      <w:bodyDiv w:val="1"/>
      <w:marLeft w:val="0"/>
      <w:marRight w:val="0"/>
      <w:marTop w:val="0"/>
      <w:marBottom w:val="0"/>
      <w:divBdr>
        <w:top w:val="none" w:sz="0" w:space="0" w:color="auto"/>
        <w:left w:val="none" w:sz="0" w:space="0" w:color="auto"/>
        <w:bottom w:val="none" w:sz="0" w:space="0" w:color="auto"/>
        <w:right w:val="none" w:sz="0" w:space="0" w:color="auto"/>
      </w:divBdr>
    </w:div>
    <w:div w:id="1298992047">
      <w:bodyDiv w:val="1"/>
      <w:marLeft w:val="0"/>
      <w:marRight w:val="0"/>
      <w:marTop w:val="0"/>
      <w:marBottom w:val="0"/>
      <w:divBdr>
        <w:top w:val="none" w:sz="0" w:space="0" w:color="auto"/>
        <w:left w:val="none" w:sz="0" w:space="0" w:color="auto"/>
        <w:bottom w:val="none" w:sz="0" w:space="0" w:color="auto"/>
        <w:right w:val="none" w:sz="0" w:space="0" w:color="auto"/>
      </w:divBdr>
    </w:div>
    <w:div w:id="1450784387">
      <w:bodyDiv w:val="1"/>
      <w:marLeft w:val="0"/>
      <w:marRight w:val="0"/>
      <w:marTop w:val="0"/>
      <w:marBottom w:val="0"/>
      <w:divBdr>
        <w:top w:val="none" w:sz="0" w:space="0" w:color="auto"/>
        <w:left w:val="none" w:sz="0" w:space="0" w:color="auto"/>
        <w:bottom w:val="none" w:sz="0" w:space="0" w:color="auto"/>
        <w:right w:val="none" w:sz="0" w:space="0" w:color="auto"/>
      </w:divBdr>
    </w:div>
    <w:div w:id="1558936170">
      <w:bodyDiv w:val="1"/>
      <w:marLeft w:val="0"/>
      <w:marRight w:val="0"/>
      <w:marTop w:val="0"/>
      <w:marBottom w:val="0"/>
      <w:divBdr>
        <w:top w:val="none" w:sz="0" w:space="0" w:color="auto"/>
        <w:left w:val="none" w:sz="0" w:space="0" w:color="auto"/>
        <w:bottom w:val="none" w:sz="0" w:space="0" w:color="auto"/>
        <w:right w:val="none" w:sz="0" w:space="0" w:color="auto"/>
      </w:divBdr>
    </w:div>
    <w:div w:id="1733498772">
      <w:bodyDiv w:val="1"/>
      <w:marLeft w:val="0"/>
      <w:marRight w:val="0"/>
      <w:marTop w:val="0"/>
      <w:marBottom w:val="0"/>
      <w:divBdr>
        <w:top w:val="none" w:sz="0" w:space="0" w:color="auto"/>
        <w:left w:val="none" w:sz="0" w:space="0" w:color="auto"/>
        <w:bottom w:val="none" w:sz="0" w:space="0" w:color="auto"/>
        <w:right w:val="none" w:sz="0" w:space="0" w:color="auto"/>
      </w:divBdr>
    </w:div>
    <w:div w:id="1750492816">
      <w:bodyDiv w:val="1"/>
      <w:marLeft w:val="0"/>
      <w:marRight w:val="0"/>
      <w:marTop w:val="0"/>
      <w:marBottom w:val="0"/>
      <w:divBdr>
        <w:top w:val="none" w:sz="0" w:space="0" w:color="auto"/>
        <w:left w:val="none" w:sz="0" w:space="0" w:color="auto"/>
        <w:bottom w:val="none" w:sz="0" w:space="0" w:color="auto"/>
        <w:right w:val="none" w:sz="0" w:space="0" w:color="auto"/>
      </w:divBdr>
    </w:div>
    <w:div w:id="1800419666">
      <w:bodyDiv w:val="1"/>
      <w:marLeft w:val="0"/>
      <w:marRight w:val="0"/>
      <w:marTop w:val="0"/>
      <w:marBottom w:val="0"/>
      <w:divBdr>
        <w:top w:val="none" w:sz="0" w:space="0" w:color="auto"/>
        <w:left w:val="none" w:sz="0" w:space="0" w:color="auto"/>
        <w:bottom w:val="none" w:sz="0" w:space="0" w:color="auto"/>
        <w:right w:val="none" w:sz="0" w:space="0" w:color="auto"/>
      </w:divBdr>
      <w:divsChild>
        <w:div w:id="495538786">
          <w:marLeft w:val="547"/>
          <w:marRight w:val="0"/>
          <w:marTop w:val="0"/>
          <w:marBottom w:val="0"/>
          <w:divBdr>
            <w:top w:val="none" w:sz="0" w:space="0" w:color="auto"/>
            <w:left w:val="none" w:sz="0" w:space="0" w:color="auto"/>
            <w:bottom w:val="none" w:sz="0" w:space="0" w:color="auto"/>
            <w:right w:val="none" w:sz="0" w:space="0" w:color="auto"/>
          </w:divBdr>
        </w:div>
        <w:div w:id="1728453638">
          <w:marLeft w:val="547"/>
          <w:marRight w:val="0"/>
          <w:marTop w:val="0"/>
          <w:marBottom w:val="0"/>
          <w:divBdr>
            <w:top w:val="none" w:sz="0" w:space="0" w:color="auto"/>
            <w:left w:val="none" w:sz="0" w:space="0" w:color="auto"/>
            <w:bottom w:val="none" w:sz="0" w:space="0" w:color="auto"/>
            <w:right w:val="none" w:sz="0" w:space="0" w:color="auto"/>
          </w:divBdr>
        </w:div>
        <w:div w:id="209272549">
          <w:marLeft w:val="547"/>
          <w:marRight w:val="0"/>
          <w:marTop w:val="0"/>
          <w:marBottom w:val="0"/>
          <w:divBdr>
            <w:top w:val="none" w:sz="0" w:space="0" w:color="auto"/>
            <w:left w:val="none" w:sz="0" w:space="0" w:color="auto"/>
            <w:bottom w:val="none" w:sz="0" w:space="0" w:color="auto"/>
            <w:right w:val="none" w:sz="0" w:space="0" w:color="auto"/>
          </w:divBdr>
        </w:div>
        <w:div w:id="444815715">
          <w:marLeft w:val="547"/>
          <w:marRight w:val="0"/>
          <w:marTop w:val="0"/>
          <w:marBottom w:val="0"/>
          <w:divBdr>
            <w:top w:val="none" w:sz="0" w:space="0" w:color="auto"/>
            <w:left w:val="none" w:sz="0" w:space="0" w:color="auto"/>
            <w:bottom w:val="none" w:sz="0" w:space="0" w:color="auto"/>
            <w:right w:val="none" w:sz="0" w:space="0" w:color="auto"/>
          </w:divBdr>
        </w:div>
        <w:div w:id="977732994">
          <w:marLeft w:val="547"/>
          <w:marRight w:val="0"/>
          <w:marTop w:val="0"/>
          <w:marBottom w:val="0"/>
          <w:divBdr>
            <w:top w:val="none" w:sz="0" w:space="0" w:color="auto"/>
            <w:left w:val="none" w:sz="0" w:space="0" w:color="auto"/>
            <w:bottom w:val="none" w:sz="0" w:space="0" w:color="auto"/>
            <w:right w:val="none" w:sz="0" w:space="0" w:color="auto"/>
          </w:divBdr>
        </w:div>
        <w:div w:id="1400249535">
          <w:marLeft w:val="547"/>
          <w:marRight w:val="0"/>
          <w:marTop w:val="0"/>
          <w:marBottom w:val="0"/>
          <w:divBdr>
            <w:top w:val="none" w:sz="0" w:space="0" w:color="auto"/>
            <w:left w:val="none" w:sz="0" w:space="0" w:color="auto"/>
            <w:bottom w:val="none" w:sz="0" w:space="0" w:color="auto"/>
            <w:right w:val="none" w:sz="0" w:space="0" w:color="auto"/>
          </w:divBdr>
        </w:div>
      </w:divsChild>
    </w:div>
    <w:div w:id="1832332361">
      <w:bodyDiv w:val="1"/>
      <w:marLeft w:val="0"/>
      <w:marRight w:val="0"/>
      <w:marTop w:val="0"/>
      <w:marBottom w:val="0"/>
      <w:divBdr>
        <w:top w:val="none" w:sz="0" w:space="0" w:color="auto"/>
        <w:left w:val="none" w:sz="0" w:space="0" w:color="auto"/>
        <w:bottom w:val="none" w:sz="0" w:space="0" w:color="auto"/>
        <w:right w:val="none" w:sz="0" w:space="0" w:color="auto"/>
      </w:divBdr>
      <w:divsChild>
        <w:div w:id="1425833685">
          <w:marLeft w:val="547"/>
          <w:marRight w:val="0"/>
          <w:marTop w:val="0"/>
          <w:marBottom w:val="0"/>
          <w:divBdr>
            <w:top w:val="none" w:sz="0" w:space="0" w:color="auto"/>
            <w:left w:val="none" w:sz="0" w:space="0" w:color="auto"/>
            <w:bottom w:val="none" w:sz="0" w:space="0" w:color="auto"/>
            <w:right w:val="none" w:sz="0" w:space="0" w:color="auto"/>
          </w:divBdr>
        </w:div>
      </w:divsChild>
    </w:div>
    <w:div w:id="1889415668">
      <w:bodyDiv w:val="1"/>
      <w:marLeft w:val="0"/>
      <w:marRight w:val="0"/>
      <w:marTop w:val="0"/>
      <w:marBottom w:val="0"/>
      <w:divBdr>
        <w:top w:val="none" w:sz="0" w:space="0" w:color="auto"/>
        <w:left w:val="none" w:sz="0" w:space="0" w:color="auto"/>
        <w:bottom w:val="none" w:sz="0" w:space="0" w:color="auto"/>
        <w:right w:val="none" w:sz="0" w:space="0" w:color="auto"/>
      </w:divBdr>
    </w:div>
    <w:div w:id="1962229000">
      <w:bodyDiv w:val="1"/>
      <w:marLeft w:val="0"/>
      <w:marRight w:val="0"/>
      <w:marTop w:val="0"/>
      <w:marBottom w:val="0"/>
      <w:divBdr>
        <w:top w:val="none" w:sz="0" w:space="0" w:color="auto"/>
        <w:left w:val="none" w:sz="0" w:space="0" w:color="auto"/>
        <w:bottom w:val="none" w:sz="0" w:space="0" w:color="auto"/>
        <w:right w:val="none" w:sz="0" w:space="0" w:color="auto"/>
      </w:divBdr>
    </w:div>
    <w:div w:id="1968050983">
      <w:bodyDiv w:val="1"/>
      <w:marLeft w:val="0"/>
      <w:marRight w:val="0"/>
      <w:marTop w:val="0"/>
      <w:marBottom w:val="0"/>
      <w:divBdr>
        <w:top w:val="none" w:sz="0" w:space="0" w:color="auto"/>
        <w:left w:val="none" w:sz="0" w:space="0" w:color="auto"/>
        <w:bottom w:val="none" w:sz="0" w:space="0" w:color="auto"/>
        <w:right w:val="none" w:sz="0" w:space="0" w:color="auto"/>
      </w:divBdr>
    </w:div>
    <w:div w:id="2115515656">
      <w:bodyDiv w:val="1"/>
      <w:marLeft w:val="0"/>
      <w:marRight w:val="0"/>
      <w:marTop w:val="0"/>
      <w:marBottom w:val="0"/>
      <w:divBdr>
        <w:top w:val="none" w:sz="0" w:space="0" w:color="auto"/>
        <w:left w:val="none" w:sz="0" w:space="0" w:color="auto"/>
        <w:bottom w:val="none" w:sz="0" w:space="0" w:color="auto"/>
        <w:right w:val="none" w:sz="0" w:space="0" w:color="auto"/>
      </w:divBdr>
      <w:divsChild>
        <w:div w:id="5479598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ml.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erdint.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BBE08217FE8429285A81EE10B8B83" ma:contentTypeVersion="10" ma:contentTypeDescription="Create a new document." ma:contentTypeScope="" ma:versionID="22aa210c6d8be81d26ad243c7c47fc1e">
  <xsd:schema xmlns:xsd="http://www.w3.org/2001/XMLSchema" xmlns:xs="http://www.w3.org/2001/XMLSchema" xmlns:p="http://schemas.microsoft.com/office/2006/metadata/properties" xmlns:ns3="894e41a7-3ce3-4847-b3fc-6c3baa1db0cf" targetNamespace="http://schemas.microsoft.com/office/2006/metadata/properties" ma:root="true" ma:fieldsID="644b7a38fa7e561c11938af346aece8d" ns3:_="">
    <xsd:import namespace="894e41a7-3ce3-4847-b3fc-6c3baa1db0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e41a7-3ce3-4847-b3fc-6c3baa1db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F1F2-AF69-4B6C-85FD-FE94A258E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4A4D9-8ED5-412A-A6BE-781691C70DAE}">
  <ds:schemaRefs>
    <ds:schemaRef ds:uri="http://schemas.microsoft.com/sharepoint/v3/contenttype/forms"/>
  </ds:schemaRefs>
</ds:datastoreItem>
</file>

<file path=customXml/itemProps3.xml><?xml version="1.0" encoding="utf-8"?>
<ds:datastoreItem xmlns:ds="http://schemas.openxmlformats.org/officeDocument/2006/customXml" ds:itemID="{A33D9654-9AE6-4536-9721-EE9CC0FE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e41a7-3ce3-4847-b3fc-6c3baa1db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A8DE3-A696-4110-81FB-26EC384B9E4D}">
  <ds:schemaRefs>
    <ds:schemaRef ds:uri="http://schemas.openxmlformats.org/officeDocument/2006/bibliography"/>
  </ds:schemaRefs>
</ds:datastoreItem>
</file>

<file path=customXml/itemProps5.xml><?xml version="1.0" encoding="utf-8"?>
<ds:datastoreItem xmlns:ds="http://schemas.openxmlformats.org/officeDocument/2006/customXml" ds:itemID="{1A77D3F6-89B7-4919-B002-B6C73E45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Mariestopes International</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Pihlqvist</dc:creator>
  <cp:lastModifiedBy>Bhuvanari</cp:lastModifiedBy>
  <cp:revision>5</cp:revision>
  <cp:lastPrinted>2017-01-06T13:57:00Z</cp:lastPrinted>
  <dcterms:created xsi:type="dcterms:W3CDTF">2021-03-02T04:05:00Z</dcterms:created>
  <dcterms:modified xsi:type="dcterms:W3CDTF">2021-03-02T10:28:00Z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0x010100997BBE08217FE8429285A81EE10B8B83</vt:lpwstr>
  </property>
</Properties>
</file>